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jc w:val="both"/>
        <w:rPr>
          <w:rFonts w:ascii="方正小标宋简体" w:hAnsi="方正小标宋简体" w:eastAsia="方正小标宋简体" w:cs="方正小标宋简体"/>
          <w:sz w:val="32"/>
          <w:szCs w:val="32"/>
        </w:rPr>
      </w:pPr>
      <w:r>
        <w:rPr>
          <w:rFonts w:hint="eastAsia" w:ascii="黑体" w:hAnsi="黑体" w:eastAsia="黑体" w:cs="黑体"/>
          <w:sz w:val="32"/>
        </w:rPr>
        <w:t>附件1</w:t>
      </w:r>
    </w:p>
    <w:p/>
    <w:p/>
    <w:p/>
    <w:p>
      <w:pPr>
        <w:pStyle w:val="4"/>
        <w:spacing w:line="1000" w:lineRule="exact"/>
        <w:rPr>
          <w:rFonts w:ascii="方正小标宋简体" w:hAnsi="方正小标宋简体" w:eastAsia="方正小标宋简体" w:cs="方正小标宋简体"/>
          <w:szCs w:val="72"/>
        </w:rPr>
      </w:pPr>
      <w:r>
        <w:rPr>
          <w:rFonts w:hint="eastAsia" w:ascii="方正小标宋简体" w:hAnsi="方正小标宋简体" w:eastAsia="方正小标宋简体" w:cs="方正小标宋简体"/>
          <w:szCs w:val="72"/>
        </w:rPr>
        <w:t>国家级滑雪旅游度假地</w:t>
      </w:r>
    </w:p>
    <w:p>
      <w:pPr>
        <w:pStyle w:val="4"/>
        <w:spacing w:line="1000" w:lineRule="exact"/>
        <w:rPr>
          <w:rFonts w:ascii="方正小标宋简体" w:hAnsi="方正小标宋简体" w:eastAsia="方正小标宋简体" w:cs="方正小标宋简体"/>
          <w:szCs w:val="72"/>
        </w:rPr>
      </w:pPr>
      <w:r>
        <w:rPr>
          <w:rFonts w:hint="eastAsia" w:ascii="方正小标宋简体" w:hAnsi="方正小标宋简体" w:eastAsia="方正小标宋简体" w:cs="方正小标宋简体"/>
          <w:szCs w:val="72"/>
        </w:rPr>
        <w:t>认定申请报告书</w:t>
      </w:r>
    </w:p>
    <w:p/>
    <w:p/>
    <w:p/>
    <w:p/>
    <w:p/>
    <w:p/>
    <w:p/>
    <w:p/>
    <w:p/>
    <w:p>
      <w:pPr>
        <w:spacing w:line="1000" w:lineRule="exact"/>
        <w:jc w:val="left"/>
        <w:rPr>
          <w:rFonts w:ascii="黑体" w:hAnsi="黑体" w:eastAsia="黑体" w:cs="黑体"/>
          <w:sz w:val="36"/>
          <w:szCs w:val="36"/>
          <w:u w:val="single"/>
        </w:rPr>
      </w:pPr>
      <w:r>
        <w:rPr>
          <w:rFonts w:hint="eastAsia" w:ascii="黑体" w:hAnsi="黑体" w:eastAsia="黑体" w:cs="黑体"/>
          <w:sz w:val="36"/>
          <w:szCs w:val="36"/>
        </w:rPr>
        <w:t xml:space="preserve"> 滑雪旅游度假地名称</w:t>
      </w:r>
      <w:r>
        <w:rPr>
          <w:rFonts w:hint="eastAsia" w:ascii="黑体" w:hAnsi="黑体" w:eastAsia="黑体" w:cs="黑体"/>
          <w:sz w:val="36"/>
          <w:szCs w:val="36"/>
          <w:u w:val="single"/>
        </w:rPr>
        <w:t xml:space="preserve">                           </w:t>
      </w:r>
    </w:p>
    <w:p>
      <w:pPr>
        <w:spacing w:line="1000" w:lineRule="exact"/>
        <w:ind w:left="-248" w:leftChars="-118"/>
        <w:jc w:val="left"/>
        <w:rPr>
          <w:rFonts w:ascii="黑体" w:hAnsi="黑体" w:eastAsia="黑体" w:cs="黑体"/>
          <w:spacing w:val="10"/>
          <w:sz w:val="36"/>
          <w:szCs w:val="36"/>
          <w:u w:val="single"/>
        </w:rPr>
      </w:pPr>
      <w:r>
        <w:rPr>
          <w:rFonts w:hint="eastAsia" w:ascii="黑体" w:hAnsi="黑体" w:eastAsia="黑体" w:cs="黑体"/>
          <w:spacing w:val="10"/>
          <w:sz w:val="36"/>
          <w:szCs w:val="36"/>
        </w:rPr>
        <w:t xml:space="preserve">  申 </w:t>
      </w:r>
      <w:r>
        <w:rPr>
          <w:rFonts w:ascii="黑体" w:hAnsi="黑体" w:eastAsia="黑体" w:cs="黑体"/>
          <w:spacing w:val="10"/>
          <w:sz w:val="36"/>
          <w:szCs w:val="36"/>
        </w:rPr>
        <w:t xml:space="preserve"> </w:t>
      </w:r>
      <w:r>
        <w:rPr>
          <w:rFonts w:hint="eastAsia" w:ascii="黑体" w:hAnsi="黑体" w:eastAsia="黑体" w:cs="黑体"/>
          <w:spacing w:val="10"/>
          <w:sz w:val="36"/>
          <w:szCs w:val="36"/>
        </w:rPr>
        <w:t xml:space="preserve"> 请 </w:t>
      </w:r>
      <w:r>
        <w:rPr>
          <w:rFonts w:ascii="黑体" w:hAnsi="黑体" w:eastAsia="黑体" w:cs="黑体"/>
          <w:spacing w:val="10"/>
          <w:sz w:val="36"/>
          <w:szCs w:val="36"/>
        </w:rPr>
        <w:t xml:space="preserve"> </w:t>
      </w:r>
      <w:r>
        <w:rPr>
          <w:rFonts w:hint="eastAsia" w:ascii="黑体" w:hAnsi="黑体" w:eastAsia="黑体" w:cs="黑体"/>
          <w:spacing w:val="10"/>
          <w:sz w:val="36"/>
          <w:szCs w:val="36"/>
        </w:rPr>
        <w:t xml:space="preserve"> 单 </w:t>
      </w:r>
      <w:r>
        <w:rPr>
          <w:rFonts w:ascii="黑体" w:hAnsi="黑体" w:eastAsia="黑体" w:cs="黑体"/>
          <w:spacing w:val="10"/>
          <w:sz w:val="36"/>
          <w:szCs w:val="36"/>
        </w:rPr>
        <w:t xml:space="preserve">  </w:t>
      </w:r>
      <w:r>
        <w:rPr>
          <w:rFonts w:hint="eastAsia" w:ascii="黑体" w:hAnsi="黑体" w:eastAsia="黑体" w:cs="黑体"/>
          <w:spacing w:val="10"/>
          <w:sz w:val="36"/>
          <w:szCs w:val="36"/>
        </w:rPr>
        <w:t>位</w:t>
      </w:r>
      <w:r>
        <w:rPr>
          <w:rFonts w:hint="eastAsia" w:ascii="黑体" w:hAnsi="黑体" w:eastAsia="黑体" w:cs="黑体"/>
          <w:sz w:val="36"/>
          <w:szCs w:val="36"/>
          <w:u w:val="single"/>
        </w:rPr>
        <w:t xml:space="preserve">                           </w:t>
      </w:r>
    </w:p>
    <w:p>
      <w:pPr>
        <w:spacing w:line="1000" w:lineRule="exact"/>
        <w:ind w:left="-248" w:leftChars="-118"/>
        <w:jc w:val="left"/>
        <w:rPr>
          <w:rFonts w:ascii="宋体" w:hAnsi="宋体"/>
          <w:spacing w:val="11"/>
          <w:w w:val="84"/>
          <w:sz w:val="36"/>
          <w:szCs w:val="36"/>
          <w:u w:val="single"/>
        </w:rPr>
      </w:pPr>
      <w:r>
        <w:rPr>
          <w:rFonts w:hint="eastAsia" w:ascii="黑体" w:hAnsi="黑体" w:eastAsia="黑体" w:cs="黑体"/>
          <w:spacing w:val="10"/>
          <w:sz w:val="36"/>
          <w:szCs w:val="36"/>
        </w:rPr>
        <w:t xml:space="preserve">  推 </w:t>
      </w:r>
      <w:r>
        <w:rPr>
          <w:rFonts w:ascii="黑体" w:hAnsi="黑体" w:eastAsia="黑体" w:cs="黑体"/>
          <w:spacing w:val="10"/>
          <w:sz w:val="36"/>
          <w:szCs w:val="36"/>
        </w:rPr>
        <w:t xml:space="preserve"> </w:t>
      </w:r>
      <w:r>
        <w:rPr>
          <w:rFonts w:hint="eastAsia" w:ascii="黑体" w:hAnsi="黑体" w:eastAsia="黑体" w:cs="黑体"/>
          <w:spacing w:val="10"/>
          <w:sz w:val="36"/>
          <w:szCs w:val="36"/>
        </w:rPr>
        <w:t xml:space="preserve"> 荐   单 </w:t>
      </w:r>
      <w:r>
        <w:rPr>
          <w:rFonts w:ascii="黑体" w:hAnsi="黑体" w:eastAsia="黑体" w:cs="黑体"/>
          <w:spacing w:val="10"/>
          <w:sz w:val="36"/>
          <w:szCs w:val="36"/>
        </w:rPr>
        <w:t xml:space="preserve">  </w:t>
      </w:r>
      <w:r>
        <w:rPr>
          <w:rFonts w:hint="eastAsia" w:ascii="黑体" w:hAnsi="黑体" w:eastAsia="黑体" w:cs="黑体"/>
          <w:spacing w:val="10"/>
          <w:sz w:val="36"/>
          <w:szCs w:val="36"/>
        </w:rPr>
        <w:t>位</w:t>
      </w:r>
      <w:r>
        <w:rPr>
          <w:rFonts w:hint="eastAsia" w:ascii="宋体" w:hAnsi="宋体"/>
          <w:sz w:val="36"/>
          <w:szCs w:val="36"/>
          <w:u w:val="single"/>
        </w:rPr>
        <w:t xml:space="preserve">                           </w:t>
      </w:r>
    </w:p>
    <w:p>
      <w:pPr>
        <w:jc w:val="left"/>
        <w:rPr>
          <w:rFonts w:ascii="宋体" w:hAnsi="宋体"/>
          <w:sz w:val="28"/>
          <w:szCs w:val="28"/>
        </w:rPr>
      </w:pPr>
    </w:p>
    <w:p>
      <w:pPr>
        <w:rPr>
          <w:rFonts w:ascii="宋体" w:hAnsi="宋体"/>
        </w:rPr>
      </w:pPr>
    </w:p>
    <w:p>
      <w:pPr>
        <w:jc w:val="center"/>
        <w:rPr>
          <w:rFonts w:ascii="宋体" w:hAnsi="宋体"/>
          <w:spacing w:val="10"/>
          <w:sz w:val="32"/>
          <w:szCs w:val="32"/>
        </w:rPr>
      </w:pPr>
      <w:r>
        <w:rPr>
          <w:rFonts w:hint="eastAsia" w:ascii="宋体" w:hAnsi="宋体"/>
          <w:spacing w:val="10"/>
          <w:sz w:val="32"/>
          <w:szCs w:val="32"/>
        </w:rPr>
        <w:t>二〇  年  月</w:t>
      </w:r>
    </w:p>
    <w:p>
      <w:pPr>
        <w:jc w:val="center"/>
        <w:rPr>
          <w:rFonts w:ascii="宋体" w:hAnsi="宋体"/>
          <w:spacing w:val="10"/>
          <w:sz w:val="32"/>
          <w:szCs w:val="32"/>
        </w:rPr>
      </w:pPr>
    </w:p>
    <w:p/>
    <w:p>
      <w:pPr>
        <w:jc w:val="center"/>
        <w:rPr>
          <w:rFonts w:hint="eastAsia" w:ascii="黑体" w:hAnsi="黑体" w:eastAsia="黑体" w:cs="宋体"/>
          <w:b/>
          <w:bCs/>
          <w:sz w:val="44"/>
        </w:rPr>
      </w:pPr>
      <w:r>
        <w:rPr>
          <w:rFonts w:ascii="宋体" w:hAnsi="宋体"/>
          <w:spacing w:val="10"/>
          <w:sz w:val="32"/>
          <w:szCs w:val="32"/>
        </w:rPr>
        <w:br w:type="page"/>
      </w:r>
    </w:p>
    <w:p>
      <w:pPr>
        <w:jc w:val="center"/>
        <w:rPr>
          <w:rFonts w:ascii="黑体" w:hAnsi="黑体" w:eastAsia="黑体" w:cs="宋体"/>
          <w:b/>
          <w:bCs/>
          <w:sz w:val="44"/>
        </w:rPr>
      </w:pPr>
      <w:r>
        <w:rPr>
          <w:rFonts w:hint="eastAsia" w:ascii="黑体" w:hAnsi="黑体" w:eastAsia="黑体" w:cs="宋体"/>
          <w:b/>
          <w:bCs/>
          <w:sz w:val="44"/>
        </w:rPr>
        <w:t>目   录</w:t>
      </w:r>
    </w:p>
    <w:p>
      <w:pPr>
        <w:rPr>
          <w:rFonts w:ascii="宋体" w:hAnsi="宋体" w:cs="宋体"/>
        </w:rPr>
      </w:pPr>
    </w:p>
    <w:p>
      <w:pPr>
        <w:rPr>
          <w:rFonts w:ascii="宋体" w:hAnsi="宋体" w:cs="宋体"/>
        </w:rPr>
      </w:pP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一、推荐意见……………………………………………………………8</w:t>
      </w: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二、初审情况……………………………………………………………8</w:t>
      </w: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三、滑雪旅游度假地基本情况…………………………………………9</w:t>
      </w:r>
    </w:p>
    <w:p>
      <w:pPr>
        <w:spacing w:line="480" w:lineRule="auto"/>
        <w:jc w:val="left"/>
        <w:rPr>
          <w:rFonts w:ascii="黑体" w:hAnsi="黑体" w:eastAsia="黑体" w:cs="黑体"/>
          <w:sz w:val="28"/>
          <w:szCs w:val="28"/>
        </w:rPr>
      </w:pPr>
      <w:r>
        <w:rPr>
          <w:rFonts w:hint="eastAsia" w:ascii="黑体" w:hAnsi="黑体" w:eastAsia="黑体" w:cs="黑体"/>
          <w:sz w:val="28"/>
          <w:szCs w:val="28"/>
        </w:rPr>
        <w:t>四、当地文化和旅游行政部门审核意见………………………………15</w:t>
      </w: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五、国家级滑雪旅游度假地申请………………………………………16</w:t>
      </w: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六、国家级滑雪旅游度假地评分细则…………………………………17</w:t>
      </w:r>
    </w:p>
    <w:p>
      <w:pPr>
        <w:spacing w:line="480" w:lineRule="auto"/>
        <w:jc w:val="left"/>
        <w:rPr>
          <w:rFonts w:hint="eastAsia" w:ascii="黑体" w:hAnsi="黑体" w:eastAsia="黑体" w:cs="黑体"/>
        </w:rPr>
      </w:pPr>
    </w:p>
    <w:p>
      <w:pPr>
        <w:pStyle w:val="4"/>
        <w:snapToGrid w:val="0"/>
        <w:spacing w:before="0" w:after="0" w:line="500" w:lineRule="exact"/>
        <w:jc w:val="left"/>
        <w:rPr>
          <w:rFonts w:ascii="黑体" w:hAnsi="黑体" w:eastAsia="黑体" w:cs="黑体"/>
          <w:sz w:val="32"/>
        </w:rPr>
      </w:pPr>
      <w:r>
        <w:rPr>
          <w:rFonts w:hint="eastAsia" w:ascii="宋体" w:hAnsi="宋体" w:cs="宋体"/>
          <w:sz w:val="24"/>
          <w:szCs w:val="24"/>
        </w:rPr>
        <w:t>说明：填写本报告书前，请仔细阅读行业标准《滑雪旅游度假地等级划分》（LB/T 08</w:t>
      </w:r>
      <w:r>
        <w:rPr>
          <w:rFonts w:ascii="宋体" w:hAnsi="宋体" w:cs="宋体"/>
          <w:sz w:val="24"/>
          <w:szCs w:val="24"/>
        </w:rPr>
        <w:t>3</w:t>
      </w:r>
      <w:r>
        <w:rPr>
          <w:rFonts w:hint="eastAsia" w:ascii="宋体" w:hAnsi="宋体" w:cs="宋体"/>
          <w:sz w:val="24"/>
          <w:szCs w:val="24"/>
        </w:rPr>
        <w:t>-2021）。</w:t>
      </w:r>
    </w:p>
    <w:p>
      <w:pPr>
        <w:keepNext w:val="0"/>
        <w:keepLines w:val="0"/>
        <w:pageBreakBefore w:val="0"/>
        <w:widowControl w:val="0"/>
        <w:tabs>
          <w:tab w:val="left" w:pos="576"/>
        </w:tabs>
        <w:kinsoku/>
        <w:wordWrap/>
        <w:overflowPunct/>
        <w:topLinePunct w:val="0"/>
        <w:autoSpaceDE/>
        <w:autoSpaceDN/>
        <w:bidi w:val="0"/>
        <w:adjustRightInd w:val="0"/>
        <w:snapToGrid/>
        <w:jc w:val="left"/>
        <w:textAlignment w:val="auto"/>
        <w:rPr>
          <w:rFonts w:hint="eastAsia" w:ascii="黑体" w:hAnsi="黑体" w:eastAsia="黑体" w:cs="黑体"/>
          <w:sz w:val="32"/>
          <w:szCs w:val="32"/>
        </w:rPr>
      </w:pPr>
      <w:r>
        <w:br w:type="page"/>
      </w:r>
      <w:r>
        <w:rPr>
          <w:rFonts w:hint="eastAsia" w:ascii="宋体" w:hAnsi="宋体" w:eastAsia="宋体" w:cs="宋体"/>
          <w:sz w:val="32"/>
          <w:szCs w:val="32"/>
          <w:lang w:val="en-US" w:eastAsia="zh-CN"/>
        </w:rPr>
        <w:t xml:space="preserve">    </w:t>
      </w:r>
      <w:r>
        <w:rPr>
          <w:rFonts w:hint="eastAsia" w:ascii="黑体" w:hAnsi="黑体" w:eastAsia="黑体" w:cs="黑体"/>
          <w:sz w:val="32"/>
          <w:szCs w:val="32"/>
        </w:rPr>
        <w:t>一、推荐意见（由推荐单位填写）</w:t>
      </w:r>
    </w:p>
    <w:tbl>
      <w:tblPr>
        <w:tblStyle w:val="5"/>
        <w:tblW w:w="87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67" w:type="dxa"/>
            <w:noWrap w:val="0"/>
            <w:vAlign w:val="top"/>
          </w:tcPr>
          <w:p>
            <w:pPr>
              <w:snapToGrid w:val="0"/>
              <w:spacing w:line="300" w:lineRule="auto"/>
              <w:jc w:val="left"/>
              <w:rPr>
                <w:rFonts w:ascii="华文中宋" w:hAnsi="华文中宋" w:eastAsia="华文中宋"/>
                <w:szCs w:val="21"/>
                <w:u w:val="single"/>
              </w:rPr>
            </w:pPr>
          </w:p>
          <w:p>
            <w:pPr>
              <w:adjustRightInd w:val="0"/>
              <w:snapToGrid w:val="0"/>
              <w:spacing w:line="600" w:lineRule="exact"/>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中华人民共和国文化和旅游部：</w:t>
            </w:r>
          </w:p>
          <w:p>
            <w:pPr>
              <w:adjustRightInd w:val="0"/>
              <w:snapToGrid w:val="0"/>
              <w:spacing w:line="600" w:lineRule="exact"/>
              <w:ind w:firstLine="680" w:firstLineChars="200"/>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根据行业标准《滑雪旅游度假地等级划分》（LB/T 083-2021），经</w:t>
            </w:r>
            <w:r>
              <w:rPr>
                <w:rFonts w:hint="eastAsia" w:ascii="仿宋_GB2312" w:hAnsi="仿宋_GB2312" w:eastAsia="仿宋_GB2312" w:cs="仿宋_GB2312"/>
                <w:spacing w:val="20"/>
                <w:sz w:val="30"/>
                <w:szCs w:val="30"/>
                <w:u w:val="single"/>
              </w:rPr>
              <w:t xml:space="preserve">       </w:t>
            </w:r>
            <w:r>
              <w:rPr>
                <w:rFonts w:hint="eastAsia" w:ascii="仿宋_GB2312" w:hAnsi="仿宋_GB2312" w:eastAsia="仿宋_GB2312" w:cs="仿宋_GB2312"/>
                <w:spacing w:val="20"/>
                <w:sz w:val="30"/>
                <w:szCs w:val="30"/>
              </w:rPr>
              <w:t>省（自治区、直辖市）文化和旅游行政部门初审合格，推荐</w:t>
            </w:r>
            <w:r>
              <w:rPr>
                <w:rFonts w:hint="eastAsia" w:ascii="仿宋_GB2312" w:hAnsi="仿宋_GB2312" w:eastAsia="仿宋_GB2312" w:cs="仿宋_GB2312"/>
                <w:spacing w:val="20"/>
                <w:sz w:val="30"/>
                <w:szCs w:val="30"/>
                <w:u w:val="single"/>
              </w:rPr>
              <w:t xml:space="preserve">                    </w:t>
            </w:r>
            <w:r>
              <w:rPr>
                <w:rFonts w:hint="eastAsia" w:ascii="仿宋_GB2312" w:hAnsi="仿宋_GB2312" w:eastAsia="仿宋_GB2312" w:cs="仿宋_GB2312"/>
                <w:spacing w:val="20"/>
                <w:sz w:val="30"/>
                <w:szCs w:val="30"/>
              </w:rPr>
              <w:t xml:space="preserve">申报国家级滑雪旅游度假地，特申请予以认定。     </w:t>
            </w:r>
          </w:p>
          <w:p>
            <w:pPr>
              <w:snapToGrid w:val="0"/>
              <w:spacing w:line="420" w:lineRule="auto"/>
              <w:ind w:firstLine="680" w:firstLineChars="200"/>
              <w:rPr>
                <w:rFonts w:hint="eastAsia" w:ascii="仿宋_GB2312" w:hAnsi="仿宋_GB2312" w:eastAsia="仿宋_GB2312" w:cs="仿宋_GB2312"/>
                <w:spacing w:val="20"/>
                <w:sz w:val="30"/>
                <w:szCs w:val="30"/>
              </w:rPr>
            </w:pPr>
          </w:p>
          <w:p>
            <w:pPr>
              <w:snapToGrid w:val="0"/>
              <w:spacing w:line="420" w:lineRule="auto"/>
              <w:ind w:firstLine="680" w:firstLineChars="200"/>
              <w:rPr>
                <w:rFonts w:hint="eastAsia" w:ascii="仿宋_GB2312" w:hAnsi="仿宋_GB2312" w:eastAsia="仿宋_GB2312" w:cs="仿宋_GB2312"/>
                <w:spacing w:val="20"/>
                <w:sz w:val="30"/>
                <w:szCs w:val="30"/>
              </w:rPr>
            </w:pPr>
          </w:p>
          <w:p>
            <w:pPr>
              <w:tabs>
                <w:tab w:val="left" w:pos="3550"/>
              </w:tabs>
              <w:snapToGrid w:val="0"/>
              <w:spacing w:line="420" w:lineRule="auto"/>
              <w:ind w:firstLine="680"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20"/>
                <w:sz w:val="30"/>
                <w:szCs w:val="30"/>
              </w:rPr>
              <w:tab/>
            </w:r>
            <w:r>
              <w:rPr>
                <w:rFonts w:hint="eastAsia" w:ascii="仿宋_GB2312" w:hAnsi="仿宋_GB2312" w:eastAsia="仿宋_GB2312" w:cs="仿宋_GB2312"/>
                <w:spacing w:val="20"/>
                <w:sz w:val="30"/>
                <w:szCs w:val="30"/>
              </w:rPr>
              <w:t>推荐单位：</w:t>
            </w:r>
          </w:p>
          <w:p>
            <w:pPr>
              <w:tabs>
                <w:tab w:val="left" w:pos="4320"/>
              </w:tabs>
              <w:ind w:left="210" w:leftChars="100" w:right="187" w:rightChars="89"/>
              <w:rPr>
                <w:rFonts w:hint="eastAsia" w:ascii="仿宋_GB2312" w:hAnsi="仿宋_GB2312" w:eastAsia="仿宋_GB2312" w:cs="仿宋_GB2312"/>
                <w:sz w:val="30"/>
                <w:szCs w:val="30"/>
              </w:rPr>
            </w:pPr>
          </w:p>
          <w:p>
            <w:pPr>
              <w:tabs>
                <w:tab w:val="left" w:pos="4712"/>
              </w:tabs>
              <w:ind w:left="210" w:leftChars="100" w:right="187" w:rightChars="8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（盖章）</w:t>
            </w:r>
          </w:p>
          <w:p>
            <w:pPr>
              <w:tabs>
                <w:tab w:val="left" w:pos="4712"/>
              </w:tabs>
              <w:ind w:left="210" w:leftChars="100" w:right="187" w:rightChars="89"/>
              <w:rPr>
                <w:rFonts w:hint="eastAsia" w:ascii="仿宋_GB2312" w:hAnsi="仿宋_GB2312" w:eastAsia="仿宋_GB2312" w:cs="仿宋_GB2312"/>
                <w:sz w:val="30"/>
                <w:szCs w:val="30"/>
              </w:rPr>
            </w:pPr>
          </w:p>
          <w:p>
            <w:pPr>
              <w:tabs>
                <w:tab w:val="left" w:pos="5215"/>
                <w:tab w:val="left" w:pos="6480"/>
                <w:tab w:val="right" w:pos="8762"/>
              </w:tabs>
              <w:ind w:left="210" w:leftChars="100" w:right="-21" w:rightChars="-10"/>
              <w:rPr>
                <w:rFonts w:ascii="宋体" w:hAnsi="宋体"/>
                <w:sz w:val="30"/>
                <w:szCs w:val="30"/>
              </w:rPr>
            </w:pP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tc>
      </w:tr>
    </w:tbl>
    <w:p>
      <w:pPr>
        <w:rPr>
          <w:rFonts w:ascii="黑体" w:hAnsi="宋体" w:eastAsia="黑体"/>
          <w:szCs w:val="21"/>
        </w:rPr>
      </w:pPr>
    </w:p>
    <w:p>
      <w:pPr>
        <w:ind w:firstLine="640" w:firstLineChars="200"/>
        <w:rPr>
          <w:rFonts w:ascii="宋体" w:hAnsi="宋体"/>
          <w:sz w:val="32"/>
          <w:szCs w:val="32"/>
        </w:rPr>
      </w:pPr>
      <w:r>
        <w:rPr>
          <w:rStyle w:val="7"/>
          <w:rFonts w:hint="eastAsia" w:ascii="黑体" w:hAnsi="黑体"/>
          <w:sz w:val="32"/>
        </w:rPr>
        <w:t>二、初审情况</w:t>
      </w:r>
      <w:r>
        <w:rPr>
          <w:rFonts w:hint="eastAsia" w:ascii="黑体" w:hAnsi="黑体" w:eastAsia="黑体"/>
          <w:sz w:val="32"/>
          <w:szCs w:val="32"/>
        </w:rPr>
        <w:t>（由推荐单位填写）</w:t>
      </w:r>
    </w:p>
    <w:tbl>
      <w:tblPr>
        <w:tblStyle w:val="5"/>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3077"/>
        <w:gridCol w:w="213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873" w:type="dxa"/>
            <w:noWrap w:val="0"/>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强制性指标</w:t>
            </w:r>
          </w:p>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（是否合格）</w:t>
            </w:r>
          </w:p>
        </w:tc>
        <w:tc>
          <w:tcPr>
            <w:tcW w:w="3077" w:type="dxa"/>
            <w:noWrap w:val="0"/>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滑雪资源和设施设备以及度假产品基础评价</w:t>
            </w:r>
          </w:p>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（100分）</w:t>
            </w:r>
          </w:p>
        </w:tc>
        <w:tc>
          <w:tcPr>
            <w:tcW w:w="2130" w:type="dxa"/>
            <w:noWrap w:val="0"/>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国家级滑雪旅游度假地综合评价</w:t>
            </w:r>
          </w:p>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（1000分）</w:t>
            </w:r>
          </w:p>
        </w:tc>
        <w:tc>
          <w:tcPr>
            <w:tcW w:w="1678" w:type="dxa"/>
            <w:noWrap w:val="0"/>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73" w:type="dxa"/>
            <w:noWrap w:val="0"/>
            <w:vAlign w:val="center"/>
          </w:tcPr>
          <w:p>
            <w:pPr>
              <w:adjustRightInd w:val="0"/>
              <w:snapToGrid w:val="0"/>
              <w:spacing w:line="360" w:lineRule="auto"/>
              <w:jc w:val="center"/>
              <w:rPr>
                <w:rFonts w:hint="eastAsia" w:ascii="仿宋_GB2312" w:hAnsi="仿宋_GB2312" w:eastAsia="仿宋_GB2312" w:cs="仿宋_GB2312"/>
                <w:sz w:val="24"/>
              </w:rPr>
            </w:pPr>
          </w:p>
        </w:tc>
        <w:tc>
          <w:tcPr>
            <w:tcW w:w="3077" w:type="dxa"/>
            <w:noWrap w:val="0"/>
            <w:vAlign w:val="center"/>
          </w:tcPr>
          <w:p>
            <w:pPr>
              <w:adjustRightInd w:val="0"/>
              <w:snapToGrid w:val="0"/>
              <w:spacing w:line="360" w:lineRule="auto"/>
              <w:jc w:val="center"/>
              <w:rPr>
                <w:rFonts w:hint="eastAsia" w:ascii="仿宋_GB2312" w:hAnsi="仿宋_GB2312" w:eastAsia="仿宋_GB2312" w:cs="仿宋_GB2312"/>
                <w:sz w:val="24"/>
              </w:rPr>
            </w:pPr>
          </w:p>
        </w:tc>
        <w:tc>
          <w:tcPr>
            <w:tcW w:w="2130" w:type="dxa"/>
            <w:noWrap w:val="0"/>
            <w:vAlign w:val="center"/>
          </w:tcPr>
          <w:p>
            <w:pPr>
              <w:adjustRightInd w:val="0"/>
              <w:snapToGrid w:val="0"/>
              <w:spacing w:line="360" w:lineRule="auto"/>
              <w:jc w:val="center"/>
              <w:rPr>
                <w:rFonts w:hint="eastAsia" w:ascii="仿宋_GB2312" w:hAnsi="仿宋_GB2312" w:eastAsia="仿宋_GB2312" w:cs="仿宋_GB2312"/>
                <w:sz w:val="24"/>
              </w:rPr>
            </w:pPr>
          </w:p>
        </w:tc>
        <w:tc>
          <w:tcPr>
            <w:tcW w:w="1678" w:type="dxa"/>
            <w:noWrap w:val="0"/>
            <w:vAlign w:val="center"/>
          </w:tcPr>
          <w:p>
            <w:pPr>
              <w:adjustRightInd w:val="0"/>
              <w:snapToGrid w:val="0"/>
              <w:spacing w:line="360" w:lineRule="auto"/>
              <w:jc w:val="center"/>
              <w:rPr>
                <w:rFonts w:hint="eastAsia" w:ascii="仿宋_GB2312" w:hAnsi="仿宋_GB2312" w:eastAsia="仿宋_GB2312" w:cs="仿宋_GB2312"/>
                <w:sz w:val="24"/>
              </w:rPr>
            </w:pPr>
          </w:p>
        </w:tc>
      </w:tr>
    </w:tbl>
    <w:p>
      <w:pPr>
        <w:tabs>
          <w:tab w:val="left" w:pos="6662"/>
        </w:tabs>
        <w:jc w:val="left"/>
        <w:rPr>
          <w:rStyle w:val="8"/>
          <w:rFonts w:hint="eastAsia"/>
          <w:b w:val="0"/>
        </w:rPr>
      </w:pPr>
      <w:r>
        <w:rPr>
          <w:rStyle w:val="8"/>
          <w:rFonts w:hint="eastAsia"/>
          <w:b w:val="0"/>
        </w:rPr>
        <w:tab/>
      </w:r>
    </w:p>
    <w:p>
      <w:pPr>
        <w:keepNext w:val="0"/>
        <w:keepLines w:val="0"/>
        <w:pageBreakBefore w:val="0"/>
        <w:widowControl w:val="0"/>
        <w:tabs>
          <w:tab w:val="left" w:pos="6662"/>
        </w:tabs>
        <w:kinsoku/>
        <w:wordWrap/>
        <w:overflowPunct/>
        <w:topLinePunct w:val="0"/>
        <w:autoSpaceDE/>
        <w:autoSpaceDN/>
        <w:bidi w:val="0"/>
        <w:adjustRightInd w:val="0"/>
        <w:snapToGrid/>
        <w:ind w:firstLine="720" w:firstLineChars="200"/>
        <w:jc w:val="left"/>
        <w:textAlignment w:val="auto"/>
        <w:rPr>
          <w:rFonts w:ascii="黑体" w:hAnsi="宋体" w:eastAsia="黑体"/>
          <w:sz w:val="32"/>
          <w:szCs w:val="32"/>
        </w:rPr>
      </w:pPr>
      <w:r>
        <w:rPr>
          <w:rStyle w:val="8"/>
          <w:rFonts w:hint="eastAsia"/>
          <w:b w:val="0"/>
        </w:rPr>
        <w:br w:type="page"/>
      </w:r>
      <w:r>
        <w:rPr>
          <w:rStyle w:val="7"/>
          <w:rFonts w:hint="eastAsia"/>
          <w:sz w:val="32"/>
        </w:rPr>
        <w:t>三、滑雪旅游度假地基本情况</w:t>
      </w:r>
      <w:r>
        <w:rPr>
          <w:rFonts w:hint="eastAsia" w:ascii="黑体" w:hAnsi="宋体" w:eastAsia="黑体"/>
          <w:sz w:val="32"/>
          <w:szCs w:val="32"/>
        </w:rPr>
        <w:t>（由申报单位填写）</w:t>
      </w:r>
    </w:p>
    <w:tbl>
      <w:tblPr>
        <w:tblStyle w:val="5"/>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83"/>
        <w:gridCol w:w="567"/>
        <w:gridCol w:w="203"/>
        <w:gridCol w:w="188"/>
        <w:gridCol w:w="34"/>
        <w:gridCol w:w="371"/>
        <w:gridCol w:w="338"/>
        <w:gridCol w:w="107"/>
        <w:gridCol w:w="602"/>
        <w:gridCol w:w="567"/>
        <w:gridCol w:w="283"/>
        <w:gridCol w:w="142"/>
        <w:gridCol w:w="142"/>
        <w:gridCol w:w="278"/>
        <w:gridCol w:w="147"/>
        <w:gridCol w:w="284"/>
        <w:gridCol w:w="233"/>
        <w:gridCol w:w="980"/>
        <w:gridCol w:w="488"/>
        <w:gridCol w:w="141"/>
        <w:gridCol w:w="1016"/>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9516" w:type="dxa"/>
            <w:gridSpan w:val="2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96"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核心区位置</w:t>
            </w:r>
          </w:p>
        </w:tc>
        <w:tc>
          <w:tcPr>
            <w:tcW w:w="7394" w:type="dxa"/>
            <w:gridSpan w:val="21"/>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（注：需提供核心区地理位置四至点）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90"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核心区运营管理机构</w:t>
            </w:r>
          </w:p>
        </w:tc>
        <w:tc>
          <w:tcPr>
            <w:tcW w:w="7394" w:type="dxa"/>
            <w:gridSpan w:val="21"/>
            <w:noWrap w:val="0"/>
            <w:vAlign w:val="center"/>
          </w:tcPr>
          <w:p>
            <w:pPr>
              <w:jc w:val="center"/>
              <w:rPr>
                <w:rFonts w:hint="eastAsia" w:ascii="仿宋_GB2312" w:hAnsi="仿宋_GB2312" w:eastAsia="仿宋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05"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机构类型</w:t>
            </w:r>
          </w:p>
        </w:tc>
        <w:tc>
          <w:tcPr>
            <w:tcW w:w="7394" w:type="dxa"/>
            <w:gridSpan w:val="21"/>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□政府机构  □事业单位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05"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联系人</w:t>
            </w:r>
          </w:p>
        </w:tc>
        <w:tc>
          <w:tcPr>
            <w:tcW w:w="2693" w:type="dxa"/>
            <w:gridSpan w:val="9"/>
            <w:noWrap w:val="0"/>
            <w:vAlign w:val="center"/>
          </w:tcPr>
          <w:p>
            <w:pPr>
              <w:jc w:val="center"/>
              <w:rPr>
                <w:rFonts w:hint="eastAsia" w:ascii="仿宋_GB2312" w:hAnsi="仿宋_GB2312" w:eastAsia="仿宋_GB2312" w:cs="仿宋_GB2312"/>
                <w:kern w:val="0"/>
                <w:sz w:val="24"/>
                <w:szCs w:val="28"/>
              </w:rPr>
            </w:pPr>
          </w:p>
        </w:tc>
        <w:tc>
          <w:tcPr>
            <w:tcW w:w="2076"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机构人数</w:t>
            </w:r>
          </w:p>
        </w:tc>
        <w:tc>
          <w:tcPr>
            <w:tcW w:w="2625" w:type="dxa"/>
            <w:gridSpan w:val="4"/>
            <w:noWrap w:val="0"/>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核心区面积</w:t>
            </w:r>
          </w:p>
        </w:tc>
        <w:tc>
          <w:tcPr>
            <w:tcW w:w="1646" w:type="dxa"/>
            <w:gridSpan w:val="6"/>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w:t>
            </w:r>
          </w:p>
        </w:tc>
        <w:tc>
          <w:tcPr>
            <w:tcW w:w="1047"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km²</w:t>
            </w:r>
          </w:p>
        </w:tc>
        <w:tc>
          <w:tcPr>
            <w:tcW w:w="2076"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雪道总面积</w:t>
            </w:r>
          </w:p>
        </w:tc>
        <w:tc>
          <w:tcPr>
            <w:tcW w:w="1609"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w:t>
            </w:r>
          </w:p>
        </w:tc>
        <w:tc>
          <w:tcPr>
            <w:tcW w:w="1016"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hm²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上年雪季客流量</w:t>
            </w:r>
          </w:p>
        </w:tc>
        <w:tc>
          <w:tcPr>
            <w:tcW w:w="1646" w:type="dxa"/>
            <w:gridSpan w:val="6"/>
            <w:noWrap w:val="0"/>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8"/>
              </w:rPr>
              <w:t>　</w:t>
            </w:r>
          </w:p>
        </w:tc>
        <w:tc>
          <w:tcPr>
            <w:tcW w:w="1047"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0"/>
              </w:rPr>
              <w:t>万人次</w:t>
            </w:r>
          </w:p>
        </w:tc>
        <w:tc>
          <w:tcPr>
            <w:tcW w:w="2076"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国际客流量</w:t>
            </w:r>
          </w:p>
        </w:tc>
        <w:tc>
          <w:tcPr>
            <w:tcW w:w="1609"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w:t>
            </w:r>
          </w:p>
        </w:tc>
        <w:tc>
          <w:tcPr>
            <w:tcW w:w="1016"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80%以上雪季经营单位营业时间</w:t>
            </w:r>
          </w:p>
        </w:tc>
        <w:tc>
          <w:tcPr>
            <w:tcW w:w="2693" w:type="dxa"/>
            <w:gridSpan w:val="9"/>
            <w:noWrap w:val="0"/>
            <w:vAlign w:val="center"/>
          </w:tcPr>
          <w:p>
            <w:pPr>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8"/>
              </w:rPr>
              <w:t>～</w:t>
            </w:r>
          </w:p>
        </w:tc>
        <w:tc>
          <w:tcPr>
            <w:tcW w:w="2076"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停车场面积</w:t>
            </w:r>
          </w:p>
        </w:tc>
        <w:tc>
          <w:tcPr>
            <w:tcW w:w="1609" w:type="dxa"/>
            <w:gridSpan w:val="3"/>
            <w:noWrap w:val="0"/>
            <w:vAlign w:val="center"/>
          </w:tcPr>
          <w:p>
            <w:pPr>
              <w:jc w:val="center"/>
              <w:rPr>
                <w:rFonts w:hint="eastAsia" w:ascii="仿宋_GB2312" w:hAnsi="仿宋_GB2312" w:eastAsia="仿宋_GB2312" w:cs="仿宋_GB2312"/>
                <w:kern w:val="0"/>
                <w:sz w:val="24"/>
                <w:szCs w:val="28"/>
              </w:rPr>
            </w:pPr>
          </w:p>
        </w:tc>
        <w:tc>
          <w:tcPr>
            <w:tcW w:w="1016"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规划等级/批准</w:t>
            </w:r>
          </w:p>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时间</w:t>
            </w:r>
          </w:p>
        </w:tc>
        <w:tc>
          <w:tcPr>
            <w:tcW w:w="1646" w:type="dxa"/>
            <w:gridSpan w:val="6"/>
            <w:noWrap w:val="0"/>
            <w:vAlign w:val="center"/>
          </w:tcPr>
          <w:p>
            <w:pP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xml:space="preserve">□国家级  </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8"/>
              </w:rPr>
              <w:t>□省级</w:t>
            </w:r>
          </w:p>
        </w:tc>
        <w:tc>
          <w:tcPr>
            <w:tcW w:w="1047"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年</w:t>
            </w:r>
          </w:p>
        </w:tc>
        <w:tc>
          <w:tcPr>
            <w:tcW w:w="2076"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是否是重点旅游项目</w:t>
            </w:r>
          </w:p>
        </w:tc>
        <w:tc>
          <w:tcPr>
            <w:tcW w:w="2625" w:type="dxa"/>
            <w:gridSpan w:val="4"/>
            <w:noWrap w:val="0"/>
            <w:vAlign w:val="center"/>
          </w:tcPr>
          <w:p>
            <w:pP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xml:space="preserve">□省级  </w:t>
            </w:r>
          </w:p>
          <w:p>
            <w:pP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35" w:hRule="atLeast"/>
          <w:jc w:val="center"/>
        </w:trPr>
        <w:tc>
          <w:tcPr>
            <w:tcW w:w="2122" w:type="dxa"/>
            <w:vMerge w:val="restart"/>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获得的荣誉/批准时间</w:t>
            </w:r>
          </w:p>
        </w:tc>
        <w:tc>
          <w:tcPr>
            <w:tcW w:w="1984" w:type="dxa"/>
            <w:gridSpan w:val="7"/>
            <w:tcBorders>
              <w:bottom w:val="single" w:color="auto" w:sz="4" w:space="0"/>
            </w:tcBorders>
            <w:noWrap w:val="0"/>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S级滑雪场/时间</w:t>
            </w:r>
          </w:p>
        </w:tc>
        <w:tc>
          <w:tcPr>
            <w:tcW w:w="2121" w:type="dxa"/>
            <w:gridSpan w:val="7"/>
            <w:tcBorders>
              <w:bottom w:val="single" w:color="auto" w:sz="4" w:space="0"/>
            </w:tcBorders>
            <w:noWrap w:val="0"/>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S/</w:t>
            </w:r>
            <w:r>
              <w:rPr>
                <w:rFonts w:hint="eastAsia" w:ascii="仿宋_GB2312" w:hAnsi="仿宋_GB2312" w:eastAsia="仿宋_GB2312" w:cs="仿宋_GB2312"/>
                <w:kern w:val="0"/>
                <w:sz w:val="24"/>
                <w:szCs w:val="28"/>
              </w:rPr>
              <w:t>　</w:t>
            </w:r>
            <w:r>
              <w:rPr>
                <w:rFonts w:hint="eastAsia" w:ascii="仿宋_GB2312" w:hAnsi="仿宋_GB2312" w:eastAsia="仿宋_GB2312" w:cs="仿宋_GB2312"/>
                <w:kern w:val="0"/>
                <w:sz w:val="24"/>
              </w:rPr>
              <w:t>年</w:t>
            </w:r>
          </w:p>
        </w:tc>
        <w:tc>
          <w:tcPr>
            <w:tcW w:w="1644" w:type="dxa"/>
            <w:gridSpan w:val="4"/>
            <w:tcBorders>
              <w:bottom w:val="single" w:color="auto" w:sz="4" w:space="0"/>
            </w:tcBorders>
            <w:noWrap w:val="0"/>
            <w:vAlign w:val="bottom"/>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旅游度假区/时间</w:t>
            </w:r>
          </w:p>
        </w:tc>
        <w:tc>
          <w:tcPr>
            <w:tcW w:w="1645" w:type="dxa"/>
            <w:gridSpan w:val="3"/>
            <w:tcBorders>
              <w:bottom w:val="single" w:color="auto" w:sz="4" w:space="0"/>
            </w:tcBorders>
            <w:noWrap w:val="0"/>
            <w:vAlign w:val="bottom"/>
          </w:tcPr>
          <w:p>
            <w:pP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□国家级/　</w:t>
            </w:r>
            <w:r>
              <w:rPr>
                <w:rFonts w:hint="eastAsia" w:ascii="仿宋_GB2312" w:hAnsi="仿宋_GB2312" w:eastAsia="仿宋_GB2312" w:cs="仿宋_GB2312"/>
                <w:kern w:val="0"/>
                <w:sz w:val="24"/>
              </w:rPr>
              <w:t>年</w:t>
            </w:r>
          </w:p>
          <w:p>
            <w:pP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□省级/　</w:t>
            </w:r>
            <w:r>
              <w:rPr>
                <w:rFonts w:hint="eastAsia" w:ascii="仿宋_GB2312" w:hAnsi="仿宋_GB2312" w:eastAsia="仿宋_GB2312" w:cs="仿宋_GB2312"/>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34" w:hRule="atLeast"/>
          <w:jc w:val="center"/>
        </w:trPr>
        <w:tc>
          <w:tcPr>
            <w:tcW w:w="2122" w:type="dxa"/>
            <w:vMerge w:val="continue"/>
            <w:tcBorders>
              <w:bottom w:val="single" w:color="auto" w:sz="4" w:space="0"/>
            </w:tcBorders>
            <w:noWrap w:val="0"/>
            <w:vAlign w:val="center"/>
          </w:tcPr>
          <w:p>
            <w:pPr>
              <w:jc w:val="center"/>
              <w:rPr>
                <w:rFonts w:hint="eastAsia" w:ascii="仿宋_GB2312" w:hAnsi="仿宋_GB2312" w:eastAsia="仿宋_GB2312" w:cs="仿宋_GB2312"/>
                <w:kern w:val="0"/>
                <w:sz w:val="24"/>
                <w:szCs w:val="28"/>
              </w:rPr>
            </w:pPr>
          </w:p>
        </w:tc>
        <w:tc>
          <w:tcPr>
            <w:tcW w:w="7394" w:type="dxa"/>
            <w:gridSpan w:val="21"/>
            <w:tcBorders>
              <w:bottom w:val="single" w:color="auto" w:sz="4" w:space="0"/>
            </w:tcBorders>
            <w:noWrap w:val="0"/>
            <w:vAlign w:val="bottom"/>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其他荣誉称号及批准时间：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9516" w:type="dxa"/>
            <w:gridSpan w:val="2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滑雪旅游场地与设施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972"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核心区雪道垂直落差（m）</w:t>
            </w:r>
          </w:p>
        </w:tc>
        <w:tc>
          <w:tcPr>
            <w:tcW w:w="1843" w:type="dxa"/>
            <w:gridSpan w:val="7"/>
            <w:noWrap w:val="0"/>
            <w:vAlign w:val="center"/>
          </w:tcPr>
          <w:p>
            <w:pPr>
              <w:jc w:val="center"/>
              <w:rPr>
                <w:rFonts w:hint="eastAsia" w:ascii="仿宋_GB2312" w:hAnsi="仿宋_GB2312" w:eastAsia="仿宋_GB2312" w:cs="仿宋_GB2312"/>
                <w:kern w:val="0"/>
                <w:sz w:val="24"/>
                <w:szCs w:val="28"/>
              </w:rPr>
            </w:pPr>
          </w:p>
        </w:tc>
        <w:tc>
          <w:tcPr>
            <w:tcW w:w="2076"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核心区初级、中级和高级雪道</w:t>
            </w:r>
          </w:p>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面积比</w:t>
            </w:r>
          </w:p>
        </w:tc>
        <w:tc>
          <w:tcPr>
            <w:tcW w:w="2625" w:type="dxa"/>
            <w:gridSpan w:val="4"/>
            <w:noWrap w:val="0"/>
            <w:vAlign w:val="center"/>
          </w:tcPr>
          <w:p>
            <w:pPr>
              <w:jc w:val="center"/>
              <w:rPr>
                <w:rFonts w:hint="eastAsia" w:ascii="仿宋_GB2312" w:hAnsi="仿宋_GB2312" w:eastAsia="仿宋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972"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核心区日最大接待游客环境容量</w:t>
            </w:r>
          </w:p>
        </w:tc>
        <w:tc>
          <w:tcPr>
            <w:tcW w:w="1843" w:type="dxa"/>
            <w:gridSpan w:val="7"/>
            <w:noWrap w:val="0"/>
            <w:vAlign w:val="center"/>
          </w:tcPr>
          <w:p>
            <w:pPr>
              <w:jc w:val="center"/>
              <w:rPr>
                <w:rFonts w:hint="eastAsia" w:ascii="仿宋_GB2312" w:hAnsi="仿宋_GB2312" w:eastAsia="仿宋_GB2312" w:cs="仿宋_GB2312"/>
                <w:kern w:val="0"/>
                <w:sz w:val="24"/>
                <w:szCs w:val="28"/>
              </w:rPr>
            </w:pPr>
          </w:p>
        </w:tc>
        <w:tc>
          <w:tcPr>
            <w:tcW w:w="2076"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索道运量</w:t>
            </w:r>
          </w:p>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w:t>
            </w:r>
            <w:r>
              <w:rPr>
                <w:rFonts w:hint="eastAsia" w:ascii="仿宋_GB2312" w:hAnsi="仿宋_GB2312" w:eastAsia="仿宋_GB2312" w:cs="仿宋_GB2312"/>
                <w:kern w:val="0"/>
                <w:szCs w:val="20"/>
              </w:rPr>
              <w:t>每小时单向运量</w:t>
            </w:r>
            <w:r>
              <w:rPr>
                <w:rFonts w:hint="eastAsia" w:ascii="仿宋_GB2312" w:hAnsi="仿宋_GB2312" w:eastAsia="仿宋_GB2312" w:cs="仿宋_GB2312"/>
                <w:kern w:val="0"/>
                <w:sz w:val="24"/>
                <w:szCs w:val="28"/>
              </w:rPr>
              <w:t>）</w:t>
            </w:r>
          </w:p>
        </w:tc>
        <w:tc>
          <w:tcPr>
            <w:tcW w:w="2625" w:type="dxa"/>
            <w:gridSpan w:val="4"/>
            <w:noWrap w:val="0"/>
            <w:vAlign w:val="center"/>
          </w:tcPr>
          <w:p>
            <w:pPr>
              <w:jc w:val="center"/>
              <w:rPr>
                <w:rFonts w:hint="eastAsia" w:ascii="仿宋_GB2312" w:hAnsi="仿宋_GB2312" w:eastAsia="仿宋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972"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rPr>
              <w:t>索道系统类型</w:t>
            </w:r>
          </w:p>
        </w:tc>
        <w:tc>
          <w:tcPr>
            <w:tcW w:w="6544" w:type="dxa"/>
            <w:gridSpan w:val="19"/>
            <w:noWrap w:val="0"/>
            <w:vAlign w:val="center"/>
          </w:tcPr>
          <w:p>
            <w:pPr>
              <w:rPr>
                <w:rFonts w:hint="eastAsia" w:ascii="仿宋_GB2312" w:hAnsi="仿宋_GB2312" w:eastAsia="仿宋_GB2312" w:cs="仿宋_GB2312"/>
                <w:kern w:val="0"/>
                <w:szCs w:val="20"/>
              </w:rPr>
            </w:pPr>
            <w:r>
              <w:rPr>
                <w:rFonts w:hint="eastAsia" w:ascii="仿宋_GB2312" w:hAnsi="仿宋_GB2312" w:eastAsia="仿宋_GB2312" w:cs="仿宋_GB2312"/>
                <w:kern w:val="0"/>
                <w:szCs w:val="20"/>
              </w:rPr>
              <w:t>□拖牵索道   □固定式吊椅索道  □脱挂式吊厢（椅）索道</w:t>
            </w:r>
          </w:p>
          <w:p>
            <w:pPr>
              <w:rPr>
                <w:rFonts w:hint="eastAsia" w:ascii="仿宋_GB2312" w:hAnsi="仿宋_GB2312" w:eastAsia="仿宋_GB2312" w:cs="仿宋_GB2312"/>
                <w:kern w:val="0"/>
                <w:szCs w:val="20"/>
              </w:rPr>
            </w:pPr>
            <w:r>
              <w:rPr>
                <w:rFonts w:hint="eastAsia" w:ascii="仿宋_GB2312" w:hAnsi="仿宋_GB2312" w:eastAsia="仿宋_GB2312" w:cs="仿宋_GB2312"/>
                <w:kern w:val="0"/>
                <w:szCs w:val="20"/>
              </w:rPr>
              <w:t>□地面缆车   □其他类型索道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405" w:type="dxa"/>
            <w:gridSpan w:val="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压雪车数量（台）</w:t>
            </w:r>
          </w:p>
        </w:tc>
        <w:tc>
          <w:tcPr>
            <w:tcW w:w="992" w:type="dxa"/>
            <w:gridSpan w:val="4"/>
            <w:noWrap w:val="0"/>
            <w:vAlign w:val="center"/>
          </w:tcPr>
          <w:p>
            <w:pPr>
              <w:jc w:val="center"/>
              <w:rPr>
                <w:rFonts w:hint="eastAsia" w:ascii="仿宋_GB2312" w:hAnsi="仿宋_GB2312" w:eastAsia="仿宋_GB2312" w:cs="仿宋_GB2312"/>
                <w:kern w:val="0"/>
                <w:sz w:val="24"/>
                <w:szCs w:val="28"/>
              </w:rPr>
            </w:pPr>
          </w:p>
        </w:tc>
        <w:tc>
          <w:tcPr>
            <w:tcW w:w="1985" w:type="dxa"/>
            <w:gridSpan w:val="5"/>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能够举办的国际滑雪赛事数量</w:t>
            </w:r>
          </w:p>
        </w:tc>
        <w:tc>
          <w:tcPr>
            <w:tcW w:w="992" w:type="dxa"/>
            <w:gridSpan w:val="5"/>
            <w:noWrap w:val="0"/>
            <w:vAlign w:val="center"/>
          </w:tcPr>
          <w:p>
            <w:pPr>
              <w:jc w:val="center"/>
              <w:rPr>
                <w:rFonts w:hint="eastAsia" w:ascii="仿宋_GB2312" w:hAnsi="仿宋_GB2312" w:eastAsia="仿宋_GB2312" w:cs="仿宋_GB2312"/>
                <w:kern w:val="0"/>
                <w:sz w:val="24"/>
                <w:szCs w:val="28"/>
              </w:rPr>
            </w:pPr>
          </w:p>
        </w:tc>
        <w:tc>
          <w:tcPr>
            <w:tcW w:w="1985" w:type="dxa"/>
            <w:gridSpan w:val="4"/>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能够举办的全国滑雪赛事数量</w:t>
            </w:r>
          </w:p>
        </w:tc>
        <w:tc>
          <w:tcPr>
            <w:tcW w:w="1157" w:type="dxa"/>
            <w:gridSpan w:val="2"/>
            <w:noWrap w:val="0"/>
            <w:vAlign w:val="center"/>
          </w:tcPr>
          <w:p>
            <w:pPr>
              <w:jc w:val="center"/>
              <w:rPr>
                <w:rFonts w:hint="eastAsia" w:ascii="仿宋_GB2312" w:hAnsi="仿宋_GB2312" w:eastAsia="仿宋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90"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滑雪器材装备</w:t>
            </w:r>
          </w:p>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8"/>
              </w:rPr>
              <w:t>数量（套）</w:t>
            </w:r>
          </w:p>
        </w:tc>
        <w:tc>
          <w:tcPr>
            <w:tcW w:w="1241" w:type="dxa"/>
            <w:gridSpan w:val="4"/>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总量</w:t>
            </w:r>
          </w:p>
        </w:tc>
        <w:tc>
          <w:tcPr>
            <w:tcW w:w="850" w:type="dxa"/>
            <w:gridSpan w:val="4"/>
            <w:noWrap w:val="0"/>
            <w:vAlign w:val="center"/>
          </w:tcPr>
          <w:p>
            <w:pPr>
              <w:jc w:val="center"/>
              <w:rPr>
                <w:rFonts w:hint="eastAsia" w:ascii="仿宋_GB2312" w:hAnsi="仿宋_GB2312" w:eastAsia="仿宋_GB2312" w:cs="仿宋_GB2312"/>
                <w:kern w:val="0"/>
                <w:sz w:val="24"/>
                <w:szCs w:val="28"/>
              </w:rPr>
            </w:pPr>
          </w:p>
        </w:tc>
        <w:tc>
          <w:tcPr>
            <w:tcW w:w="1452"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儿童板占比（%）</w:t>
            </w:r>
          </w:p>
        </w:tc>
        <w:tc>
          <w:tcPr>
            <w:tcW w:w="1226" w:type="dxa"/>
            <w:gridSpan w:val="6"/>
            <w:noWrap w:val="0"/>
            <w:vAlign w:val="center"/>
          </w:tcPr>
          <w:p>
            <w:pPr>
              <w:jc w:val="center"/>
              <w:rPr>
                <w:rFonts w:hint="eastAsia" w:ascii="仿宋_GB2312" w:hAnsi="仿宋_GB2312" w:eastAsia="仿宋_GB2312" w:cs="仿宋_GB2312"/>
                <w:kern w:val="0"/>
                <w:sz w:val="24"/>
                <w:szCs w:val="28"/>
              </w:rPr>
            </w:pPr>
          </w:p>
        </w:tc>
        <w:tc>
          <w:tcPr>
            <w:tcW w:w="1609"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单板占比（%）</w:t>
            </w:r>
          </w:p>
        </w:tc>
        <w:tc>
          <w:tcPr>
            <w:tcW w:w="1016" w:type="dxa"/>
            <w:noWrap w:val="0"/>
            <w:vAlign w:val="center"/>
          </w:tcPr>
          <w:p>
            <w:pPr>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9516" w:type="dxa"/>
            <w:gridSpan w:val="2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滑雪旅游综合服务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90" w:hRule="atLeast"/>
          <w:jc w:val="center"/>
        </w:trPr>
        <w:tc>
          <w:tcPr>
            <w:tcW w:w="2122" w:type="dxa"/>
            <w:noWrap w:val="0"/>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8"/>
              </w:rPr>
              <w:t>住宿接待设施</w:t>
            </w:r>
          </w:p>
        </w:tc>
        <w:tc>
          <w:tcPr>
            <w:tcW w:w="1241" w:type="dxa"/>
            <w:gridSpan w:val="4"/>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总量（房间数）</w:t>
            </w:r>
          </w:p>
        </w:tc>
        <w:tc>
          <w:tcPr>
            <w:tcW w:w="850" w:type="dxa"/>
            <w:gridSpan w:val="4"/>
            <w:noWrap w:val="0"/>
            <w:vAlign w:val="center"/>
          </w:tcPr>
          <w:p>
            <w:pPr>
              <w:jc w:val="center"/>
              <w:rPr>
                <w:rFonts w:hint="eastAsia" w:ascii="仿宋_GB2312" w:hAnsi="仿宋_GB2312" w:eastAsia="仿宋_GB2312" w:cs="仿宋_GB2312"/>
                <w:kern w:val="0"/>
                <w:sz w:val="24"/>
                <w:szCs w:val="28"/>
              </w:rPr>
            </w:pPr>
          </w:p>
        </w:tc>
        <w:tc>
          <w:tcPr>
            <w:tcW w:w="1736" w:type="dxa"/>
            <w:gridSpan w:val="5"/>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三星级（含）以上和高品质住宿接待设施占比（%）</w:t>
            </w:r>
          </w:p>
        </w:tc>
        <w:tc>
          <w:tcPr>
            <w:tcW w:w="942" w:type="dxa"/>
            <w:gridSpan w:val="4"/>
            <w:noWrap w:val="0"/>
            <w:vAlign w:val="center"/>
          </w:tcPr>
          <w:p>
            <w:pPr>
              <w:jc w:val="center"/>
              <w:rPr>
                <w:rFonts w:hint="eastAsia" w:ascii="仿宋_GB2312" w:hAnsi="仿宋_GB2312" w:eastAsia="仿宋_GB2312" w:cs="仿宋_GB2312"/>
                <w:kern w:val="0"/>
                <w:sz w:val="24"/>
                <w:szCs w:val="28"/>
              </w:rPr>
            </w:pPr>
          </w:p>
        </w:tc>
        <w:tc>
          <w:tcPr>
            <w:tcW w:w="1609"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滑雪型酒店或具有鲜明滑雪主题度假酒店占比（%）</w:t>
            </w:r>
          </w:p>
        </w:tc>
        <w:tc>
          <w:tcPr>
            <w:tcW w:w="1016" w:type="dxa"/>
            <w:noWrap w:val="0"/>
            <w:vAlign w:val="center"/>
          </w:tcPr>
          <w:p>
            <w:pPr>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972"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滑雪指导员类型</w:t>
            </w:r>
          </w:p>
        </w:tc>
        <w:tc>
          <w:tcPr>
            <w:tcW w:w="1843" w:type="dxa"/>
            <w:gridSpan w:val="7"/>
            <w:noWrap w:val="0"/>
            <w:vAlign w:val="center"/>
          </w:tcPr>
          <w:p>
            <w:pPr>
              <w:jc w:val="center"/>
              <w:rPr>
                <w:rFonts w:hint="eastAsia" w:ascii="仿宋_GB2312" w:hAnsi="仿宋_GB2312" w:eastAsia="仿宋_GB2312" w:cs="仿宋_GB2312"/>
                <w:kern w:val="0"/>
                <w:sz w:val="24"/>
                <w:szCs w:val="28"/>
              </w:rPr>
            </w:pPr>
          </w:p>
        </w:tc>
        <w:tc>
          <w:tcPr>
            <w:tcW w:w="2076"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滑雪指导员总量（人）</w:t>
            </w:r>
          </w:p>
        </w:tc>
        <w:tc>
          <w:tcPr>
            <w:tcW w:w="2625" w:type="dxa"/>
            <w:gridSpan w:val="4"/>
            <w:noWrap w:val="0"/>
            <w:vAlign w:val="center"/>
          </w:tcPr>
          <w:p>
            <w:pPr>
              <w:jc w:val="center"/>
              <w:rPr>
                <w:rFonts w:hint="eastAsia" w:ascii="仿宋_GB2312" w:hAnsi="仿宋_GB2312" w:eastAsia="仿宋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958"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滑雪教学与培训</w:t>
            </w:r>
          </w:p>
        </w:tc>
        <w:tc>
          <w:tcPr>
            <w:tcW w:w="7394" w:type="dxa"/>
            <w:gridSpan w:val="21"/>
            <w:noWrap w:val="0"/>
            <w:vAlign w:val="bottom"/>
          </w:tcPr>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教学条件，开展的滑雪教学与培训内容。只列目录，另附具文本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958"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户外与室内休闲活动及设施</w:t>
            </w:r>
          </w:p>
        </w:tc>
        <w:tc>
          <w:tcPr>
            <w:tcW w:w="7394" w:type="dxa"/>
            <w:gridSpan w:val="21"/>
            <w:noWrap w:val="0"/>
            <w:vAlign w:val="bottom"/>
          </w:tcPr>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开展的户外与室内活动种类。只列目录，另附具文本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248"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住宿接待设施类型及品质</w:t>
            </w:r>
          </w:p>
        </w:tc>
        <w:tc>
          <w:tcPr>
            <w:tcW w:w="7394" w:type="dxa"/>
            <w:gridSpan w:val="21"/>
            <w:noWrap w:val="0"/>
            <w:vAlign w:val="bottom"/>
          </w:tcPr>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已有的住宿接待设施种类、品质、数量（房间数）。只列目录，另附具文本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443"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餐饮服务</w:t>
            </w:r>
          </w:p>
        </w:tc>
        <w:tc>
          <w:tcPr>
            <w:tcW w:w="7394" w:type="dxa"/>
            <w:gridSpan w:val="21"/>
            <w:noWrap w:val="0"/>
            <w:vAlign w:val="bottom"/>
          </w:tcPr>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已有的餐饮设施种类、布局、舒适性与文明用餐引导性。</w:t>
            </w:r>
          </w:p>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只列目录，另附具文本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653"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会议接待能力</w:t>
            </w:r>
          </w:p>
        </w:tc>
        <w:tc>
          <w:tcPr>
            <w:tcW w:w="7394" w:type="dxa"/>
            <w:gridSpan w:val="21"/>
            <w:noWrap w:val="0"/>
            <w:vAlign w:val="bottom"/>
          </w:tcPr>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已有的会议接待设施的硬件品质、服务品质和接待规模。</w:t>
            </w:r>
          </w:p>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只列目录，另附具文本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9516" w:type="dxa"/>
            <w:gridSpan w:val="2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配套设施与条件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413"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配套服务设施与综合服务</w:t>
            </w:r>
          </w:p>
        </w:tc>
        <w:tc>
          <w:tcPr>
            <w:tcW w:w="7394" w:type="dxa"/>
            <w:gridSpan w:val="21"/>
            <w:noWrap w:val="0"/>
            <w:vAlign w:val="bottom"/>
          </w:tcPr>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综合服务设施体系、针对儿童、老年人及特殊群体的滑雪旅游度假服务等。</w:t>
            </w:r>
          </w:p>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只列目录，另附具文本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WIFI覆盖率（%）</w:t>
            </w:r>
          </w:p>
        </w:tc>
        <w:tc>
          <w:tcPr>
            <w:tcW w:w="1053" w:type="dxa"/>
            <w:gridSpan w:val="3"/>
            <w:noWrap w:val="0"/>
            <w:vAlign w:val="center"/>
          </w:tcPr>
          <w:p>
            <w:pPr>
              <w:rPr>
                <w:rFonts w:hint="eastAsia" w:ascii="仿宋_GB2312" w:hAnsi="仿宋_GB2312" w:eastAsia="仿宋_GB2312" w:cs="仿宋_GB2312"/>
                <w:kern w:val="0"/>
                <w:sz w:val="24"/>
                <w:szCs w:val="28"/>
              </w:rPr>
            </w:pPr>
          </w:p>
        </w:tc>
        <w:tc>
          <w:tcPr>
            <w:tcW w:w="3483" w:type="dxa"/>
            <w:gridSpan w:val="13"/>
            <w:noWrap w:val="0"/>
            <w:vAlign w:val="center"/>
          </w:tcPr>
          <w:p>
            <w:pP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独立域名网站或微信公众号</w:t>
            </w:r>
          </w:p>
        </w:tc>
        <w:tc>
          <w:tcPr>
            <w:tcW w:w="2858" w:type="dxa"/>
            <w:gridSpan w:val="5"/>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智能停车系统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5"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移动支付覆盖率（%）</w:t>
            </w:r>
          </w:p>
        </w:tc>
        <w:tc>
          <w:tcPr>
            <w:tcW w:w="1053" w:type="dxa"/>
            <w:gridSpan w:val="3"/>
            <w:noWrap w:val="0"/>
            <w:vAlign w:val="center"/>
          </w:tcPr>
          <w:p>
            <w:pPr>
              <w:jc w:val="center"/>
              <w:rPr>
                <w:rFonts w:hint="eastAsia" w:ascii="仿宋_GB2312" w:hAnsi="仿宋_GB2312" w:eastAsia="仿宋_GB2312" w:cs="仿宋_GB2312"/>
                <w:kern w:val="0"/>
                <w:sz w:val="24"/>
                <w:szCs w:val="28"/>
              </w:rPr>
            </w:pPr>
          </w:p>
        </w:tc>
        <w:tc>
          <w:tcPr>
            <w:tcW w:w="3483" w:type="dxa"/>
            <w:gridSpan w:val="13"/>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手机客户端</w:t>
            </w:r>
          </w:p>
        </w:tc>
        <w:tc>
          <w:tcPr>
            <w:tcW w:w="2858" w:type="dxa"/>
            <w:gridSpan w:val="5"/>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智能照明系统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90"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视频监控覆盖率（%）</w:t>
            </w:r>
          </w:p>
        </w:tc>
        <w:tc>
          <w:tcPr>
            <w:tcW w:w="1053" w:type="dxa"/>
            <w:gridSpan w:val="3"/>
            <w:noWrap w:val="0"/>
            <w:vAlign w:val="center"/>
          </w:tcPr>
          <w:p>
            <w:pPr>
              <w:jc w:val="center"/>
              <w:rPr>
                <w:rFonts w:hint="eastAsia" w:ascii="仿宋_GB2312" w:hAnsi="仿宋_GB2312" w:eastAsia="仿宋_GB2312" w:cs="仿宋_GB2312"/>
                <w:kern w:val="0"/>
                <w:sz w:val="24"/>
                <w:szCs w:val="28"/>
              </w:rPr>
            </w:pPr>
          </w:p>
        </w:tc>
        <w:tc>
          <w:tcPr>
            <w:tcW w:w="3483" w:type="dxa"/>
            <w:gridSpan w:val="13"/>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智能引导系统</w:t>
            </w:r>
          </w:p>
        </w:tc>
        <w:tc>
          <w:tcPr>
            <w:tcW w:w="2858" w:type="dxa"/>
            <w:gridSpan w:val="5"/>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客流分析系统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22" w:type="dxa"/>
            <w:vMerge w:val="restart"/>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运营与管理措施</w:t>
            </w:r>
          </w:p>
        </w:tc>
        <w:tc>
          <w:tcPr>
            <w:tcW w:w="2693" w:type="dxa"/>
            <w:gridSpan w:val="9"/>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各类经营许可是否齐全</w:t>
            </w:r>
          </w:p>
        </w:tc>
        <w:tc>
          <w:tcPr>
            <w:tcW w:w="992"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c>
          <w:tcPr>
            <w:tcW w:w="2693"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管理人员是否定期培训</w:t>
            </w:r>
          </w:p>
        </w:tc>
        <w:tc>
          <w:tcPr>
            <w:tcW w:w="1044" w:type="dxa"/>
            <w:gridSpan w:val="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22" w:type="dxa"/>
            <w:vMerge w:val="continue"/>
            <w:noWrap w:val="0"/>
            <w:vAlign w:val="center"/>
          </w:tcPr>
          <w:p>
            <w:pPr>
              <w:jc w:val="center"/>
              <w:rPr>
                <w:rFonts w:hint="eastAsia" w:ascii="仿宋_GB2312" w:hAnsi="仿宋_GB2312" w:eastAsia="仿宋_GB2312" w:cs="仿宋_GB2312"/>
                <w:kern w:val="0"/>
                <w:sz w:val="24"/>
                <w:szCs w:val="28"/>
              </w:rPr>
            </w:pPr>
          </w:p>
        </w:tc>
        <w:tc>
          <w:tcPr>
            <w:tcW w:w="2693" w:type="dxa"/>
            <w:gridSpan w:val="9"/>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度假地周边居民参与率（占度假地工作人员</w:t>
            </w:r>
          </w:p>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比例%）</w:t>
            </w:r>
          </w:p>
        </w:tc>
        <w:tc>
          <w:tcPr>
            <w:tcW w:w="992" w:type="dxa"/>
            <w:gridSpan w:val="3"/>
            <w:noWrap w:val="0"/>
            <w:vAlign w:val="center"/>
          </w:tcPr>
          <w:p>
            <w:pPr>
              <w:jc w:val="center"/>
              <w:rPr>
                <w:rFonts w:hint="eastAsia" w:ascii="仿宋_GB2312" w:hAnsi="仿宋_GB2312" w:eastAsia="仿宋_GB2312" w:cs="仿宋_GB2312"/>
                <w:kern w:val="0"/>
                <w:sz w:val="24"/>
                <w:szCs w:val="28"/>
              </w:rPr>
            </w:pPr>
          </w:p>
        </w:tc>
        <w:tc>
          <w:tcPr>
            <w:tcW w:w="2693"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访客满意度（%）</w:t>
            </w:r>
          </w:p>
        </w:tc>
        <w:tc>
          <w:tcPr>
            <w:tcW w:w="1044" w:type="dxa"/>
            <w:gridSpan w:val="2"/>
            <w:noWrap w:val="0"/>
            <w:vAlign w:val="center"/>
          </w:tcPr>
          <w:p>
            <w:pPr>
              <w:jc w:val="center"/>
              <w:rPr>
                <w:rFonts w:hint="eastAsia" w:ascii="仿宋_GB2312" w:hAnsi="仿宋_GB2312" w:eastAsia="仿宋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22" w:type="dxa"/>
            <w:vMerge w:val="restart"/>
            <w:noWrap w:val="0"/>
            <w:vAlign w:val="center"/>
          </w:tcPr>
          <w:p>
            <w:pP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综合防灾系统与安全保障制度</w:t>
            </w:r>
          </w:p>
        </w:tc>
        <w:tc>
          <w:tcPr>
            <w:tcW w:w="2693" w:type="dxa"/>
            <w:gridSpan w:val="9"/>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是否有完善的安全管理制度</w:t>
            </w:r>
          </w:p>
        </w:tc>
        <w:tc>
          <w:tcPr>
            <w:tcW w:w="992"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c>
          <w:tcPr>
            <w:tcW w:w="2693"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是否有突发事件</w:t>
            </w:r>
          </w:p>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应急预案</w:t>
            </w:r>
          </w:p>
        </w:tc>
        <w:tc>
          <w:tcPr>
            <w:tcW w:w="1044" w:type="dxa"/>
            <w:gridSpan w:val="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22" w:type="dxa"/>
            <w:vMerge w:val="continue"/>
            <w:noWrap w:val="0"/>
            <w:vAlign w:val="center"/>
          </w:tcPr>
          <w:p>
            <w:pPr>
              <w:rPr>
                <w:rFonts w:hint="eastAsia" w:ascii="仿宋_GB2312" w:hAnsi="仿宋_GB2312" w:eastAsia="仿宋_GB2312" w:cs="仿宋_GB2312"/>
                <w:kern w:val="0"/>
                <w:sz w:val="24"/>
                <w:szCs w:val="28"/>
              </w:rPr>
            </w:pPr>
          </w:p>
        </w:tc>
        <w:tc>
          <w:tcPr>
            <w:tcW w:w="2693" w:type="dxa"/>
            <w:gridSpan w:val="9"/>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是否有消防、防盗、防暴、救护等设施设备</w:t>
            </w:r>
          </w:p>
        </w:tc>
        <w:tc>
          <w:tcPr>
            <w:tcW w:w="992"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c>
          <w:tcPr>
            <w:tcW w:w="2693"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是否有专职、专业保安人员</w:t>
            </w:r>
          </w:p>
        </w:tc>
        <w:tc>
          <w:tcPr>
            <w:tcW w:w="1044" w:type="dxa"/>
            <w:gridSpan w:val="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22" w:type="dxa"/>
            <w:vMerge w:val="continue"/>
            <w:noWrap w:val="0"/>
            <w:vAlign w:val="center"/>
          </w:tcPr>
          <w:p>
            <w:pPr>
              <w:rPr>
                <w:rFonts w:hint="eastAsia" w:ascii="仿宋_GB2312" w:hAnsi="仿宋_GB2312" w:eastAsia="仿宋_GB2312" w:cs="仿宋_GB2312"/>
                <w:kern w:val="0"/>
                <w:sz w:val="24"/>
                <w:szCs w:val="28"/>
              </w:rPr>
            </w:pPr>
          </w:p>
        </w:tc>
        <w:tc>
          <w:tcPr>
            <w:tcW w:w="2693" w:type="dxa"/>
            <w:gridSpan w:val="9"/>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是否有7d×24h医疗</w:t>
            </w:r>
          </w:p>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服务</w:t>
            </w:r>
          </w:p>
        </w:tc>
        <w:tc>
          <w:tcPr>
            <w:tcW w:w="992" w:type="dxa"/>
            <w:gridSpan w:val="3"/>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c>
          <w:tcPr>
            <w:tcW w:w="2693"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是否有警示警告标志</w:t>
            </w:r>
          </w:p>
        </w:tc>
        <w:tc>
          <w:tcPr>
            <w:tcW w:w="1044" w:type="dxa"/>
            <w:gridSpan w:val="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22" w:type="dxa"/>
            <w:vMerge w:val="continue"/>
            <w:noWrap w:val="0"/>
            <w:vAlign w:val="center"/>
          </w:tcPr>
          <w:p>
            <w:pPr>
              <w:rPr>
                <w:rFonts w:hint="eastAsia" w:ascii="仿宋_GB2312" w:hAnsi="仿宋_GB2312" w:eastAsia="仿宋_GB2312" w:cs="仿宋_GB2312"/>
                <w:kern w:val="0"/>
                <w:sz w:val="24"/>
                <w:szCs w:val="28"/>
              </w:rPr>
            </w:pPr>
          </w:p>
        </w:tc>
        <w:tc>
          <w:tcPr>
            <w:tcW w:w="2693" w:type="dxa"/>
            <w:gridSpan w:val="9"/>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2A级旅游厕所数量</w:t>
            </w:r>
          </w:p>
        </w:tc>
        <w:tc>
          <w:tcPr>
            <w:tcW w:w="992" w:type="dxa"/>
            <w:gridSpan w:val="3"/>
            <w:noWrap w:val="0"/>
            <w:vAlign w:val="center"/>
          </w:tcPr>
          <w:p>
            <w:pPr>
              <w:jc w:val="center"/>
              <w:rPr>
                <w:rFonts w:hint="eastAsia" w:ascii="仿宋_GB2312" w:hAnsi="仿宋_GB2312" w:eastAsia="仿宋_GB2312" w:cs="仿宋_GB2312"/>
                <w:kern w:val="0"/>
                <w:sz w:val="24"/>
                <w:szCs w:val="28"/>
              </w:rPr>
            </w:pPr>
          </w:p>
        </w:tc>
        <w:tc>
          <w:tcPr>
            <w:tcW w:w="2693" w:type="dxa"/>
            <w:gridSpan w:val="8"/>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3A级旅游厕所数量</w:t>
            </w:r>
          </w:p>
        </w:tc>
        <w:tc>
          <w:tcPr>
            <w:tcW w:w="1044" w:type="dxa"/>
            <w:gridSpan w:val="2"/>
            <w:noWrap w:val="0"/>
            <w:vAlign w:val="center"/>
          </w:tcPr>
          <w:p>
            <w:pPr>
              <w:jc w:val="center"/>
              <w:rPr>
                <w:rFonts w:hint="eastAsia" w:ascii="仿宋_GB2312" w:hAnsi="仿宋_GB2312" w:eastAsia="仿宋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02" w:hRule="atLeast"/>
          <w:jc w:val="center"/>
        </w:trPr>
        <w:tc>
          <w:tcPr>
            <w:tcW w:w="9516" w:type="dxa"/>
            <w:gridSpan w:val="22"/>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管理与发展计划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978"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管理制度</w:t>
            </w:r>
          </w:p>
        </w:tc>
        <w:tc>
          <w:tcPr>
            <w:tcW w:w="7394" w:type="dxa"/>
            <w:gridSpan w:val="21"/>
            <w:noWrap w:val="0"/>
            <w:vAlign w:val="bottom"/>
          </w:tcPr>
          <w:p>
            <w:pPr>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现行的管理制度，包括行政法规、政府文件，应急机制与安全救助、环保制度与措施等规定。只列目录，另附具文本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331"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战略定位</w:t>
            </w:r>
          </w:p>
        </w:tc>
        <w:tc>
          <w:tcPr>
            <w:tcW w:w="7394" w:type="dxa"/>
            <w:gridSpan w:val="21"/>
            <w:noWrap w:val="0"/>
            <w:vAlign w:val="bottom"/>
          </w:tcPr>
          <w:p>
            <w:pPr>
              <w:wordWrap w:val="0"/>
              <w:jc w:val="right"/>
              <w:rPr>
                <w:rFonts w:hint="eastAsia" w:ascii="仿宋_GB2312" w:hAnsi="仿宋_GB2312" w:eastAsia="仿宋_GB2312" w:cs="仿宋_GB2312"/>
                <w:kern w:val="0"/>
                <w:szCs w:val="21"/>
              </w:rPr>
            </w:pPr>
          </w:p>
          <w:p>
            <w:pPr>
              <w:jc w:val="right"/>
              <w:rPr>
                <w:rFonts w:hint="eastAsia" w:ascii="仿宋_GB2312" w:hAnsi="仿宋_GB2312" w:eastAsia="仿宋_GB2312" w:cs="仿宋_GB2312"/>
                <w:kern w:val="0"/>
                <w:szCs w:val="21"/>
              </w:rPr>
            </w:pPr>
          </w:p>
          <w:p>
            <w:pPr>
              <w:jc w:val="right"/>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950"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预期目标</w:t>
            </w:r>
          </w:p>
        </w:tc>
        <w:tc>
          <w:tcPr>
            <w:tcW w:w="7394" w:type="dxa"/>
            <w:gridSpan w:val="21"/>
            <w:noWrap w:val="0"/>
            <w:vAlign w:val="bottom"/>
          </w:tcPr>
          <w:p>
            <w:pPr>
              <w:wordWrap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简要说明要在未来3年分别达到的目标。要求能够反映滑雪旅游度假地的变化，突出滑雪旅游度假地高质量发展的预期成效，以及在推进冰雪资源转化、冰雪旅游发展与冰雪强国建设的预期贡献。可另附详细文本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128" w:hRule="atLeast"/>
          <w:jc w:val="center"/>
        </w:trPr>
        <w:tc>
          <w:tcPr>
            <w:tcW w:w="2122" w:type="dxa"/>
            <w:noWrap w:val="0"/>
            <w:vAlign w:val="center"/>
          </w:tcPr>
          <w:p>
            <w:pPr>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sz w:val="24"/>
              </w:rPr>
              <w:t>证明材料附件</w:t>
            </w:r>
          </w:p>
        </w:tc>
        <w:tc>
          <w:tcPr>
            <w:tcW w:w="7394" w:type="dxa"/>
            <w:gridSpan w:val="21"/>
            <w:noWrap w:val="0"/>
            <w:vAlign w:val="center"/>
          </w:tcPr>
          <w:p>
            <w:pPr>
              <w:numPr>
                <w:ilvl w:val="0"/>
                <w:numId w:val="2"/>
              </w:numPr>
              <w:ind w:left="549"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滑雪旅游度假地核心区边界</w:t>
            </w:r>
            <w:r>
              <w:rPr>
                <w:rFonts w:ascii="仿宋_GB2312" w:hAnsi="仿宋_GB2312" w:eastAsia="仿宋_GB2312" w:cs="仿宋_GB2312"/>
                <w:sz w:val="24"/>
                <w:szCs w:val="24"/>
              </w:rPr>
              <w:t>矢量数据</w:t>
            </w:r>
          </w:p>
          <w:p>
            <w:pPr>
              <w:numPr>
                <w:ilvl w:val="0"/>
                <w:numId w:val="2"/>
              </w:numPr>
              <w:ind w:left="549"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红线范围图             </w:t>
            </w:r>
          </w:p>
          <w:p>
            <w:pPr>
              <w:numPr>
                <w:ilvl w:val="0"/>
                <w:numId w:val="2"/>
              </w:numPr>
              <w:ind w:left="549"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滑雪旅游度假地核心区功能分布图</w:t>
            </w:r>
          </w:p>
          <w:p>
            <w:pPr>
              <w:numPr>
                <w:ilvl w:val="0"/>
                <w:numId w:val="2"/>
              </w:numPr>
              <w:ind w:left="549"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县级以上自然资源部门关于土地使用符合法律法规有关规定的相关材料</w:t>
            </w:r>
          </w:p>
          <w:p>
            <w:pPr>
              <w:numPr>
                <w:ilvl w:val="0"/>
                <w:numId w:val="2"/>
              </w:numPr>
              <w:ind w:left="549"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管理机构关于近2年主要经营主体无严重违法违规等行为记录和未发生重大旅游安全责任事故、社会反响强烈的负面舆情事件的承诺书</w:t>
            </w:r>
          </w:p>
          <w:p>
            <w:pPr>
              <w:wordWrap w:val="0"/>
              <w:rPr>
                <w:rFonts w:hint="eastAsia" w:ascii="仿宋_GB2312" w:hAnsi="仿宋_GB2312" w:eastAsia="仿宋_GB2312" w:cs="仿宋_GB2312"/>
                <w:kern w:val="0"/>
                <w:szCs w:val="21"/>
              </w:rPr>
            </w:pPr>
            <w:r>
              <w:rPr>
                <w:rFonts w:hint="eastAsia" w:ascii="仿宋_GB2312" w:hAnsi="仿宋_GB2312" w:eastAsia="仿宋_GB2312" w:cs="仿宋_GB2312"/>
                <w:sz w:val="24"/>
              </w:rPr>
              <w:t>（注：相应图、表和报告需作为附件提供，图纸要求按实际比例制作，内容清晰可辨、色彩饱满</w:t>
            </w:r>
            <w:r>
              <w:rPr>
                <w:rFonts w:ascii="仿宋_GB2312" w:hAnsi="仿宋_GB2312" w:eastAsia="仿宋_GB2312" w:cs="仿宋_GB2312"/>
                <w:sz w:val="24"/>
                <w:szCs w:val="24"/>
              </w:rPr>
              <w:t>；矢量数据采用gdb格式，2000国家大地坐标系</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179" w:hRule="atLeast"/>
          <w:jc w:val="center"/>
        </w:trPr>
        <w:tc>
          <w:tcPr>
            <w:tcW w:w="9516" w:type="dxa"/>
            <w:gridSpan w:val="22"/>
            <w:noWrap w:val="0"/>
            <w:vAlign w:val="top"/>
          </w:tcPr>
          <w:p>
            <w:pPr>
              <w:tabs>
                <w:tab w:val="left" w:pos="420"/>
              </w:tabs>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滑雪旅游度假地总体情况介绍（此介绍纸版可附页，电子版可单独上传附件包含图文内容）</w:t>
            </w:r>
          </w:p>
          <w:p>
            <w:pPr>
              <w:tabs>
                <w:tab w:val="left" w:pos="420"/>
              </w:tabs>
              <w:ind w:left="549"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left="549" w:firstLine="0" w:firstLineChars="0"/>
              <w:rPr>
                <w:rFonts w:ascii="宋体" w:hAnsi="宋体"/>
                <w:sz w:val="24"/>
                <w:szCs w:val="24"/>
              </w:rPr>
            </w:pPr>
          </w:p>
          <w:p>
            <w:pPr>
              <w:tabs>
                <w:tab w:val="left" w:pos="420"/>
              </w:tabs>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179" w:hRule="atLeast"/>
          <w:jc w:val="center"/>
        </w:trPr>
        <w:tc>
          <w:tcPr>
            <w:tcW w:w="9516" w:type="dxa"/>
            <w:gridSpan w:val="22"/>
            <w:noWrap w:val="0"/>
            <w:vAlign w:val="top"/>
          </w:tcPr>
          <w:p>
            <w:pPr>
              <w:spacing w:line="440" w:lineRule="exact"/>
              <w:rPr>
                <w:rFonts w:ascii="宋体" w:hAnsi="宋体"/>
                <w:bCs/>
                <w:sz w:val="24"/>
              </w:rPr>
            </w:pPr>
            <w:r>
              <w:rPr>
                <w:rFonts w:hint="eastAsia" w:ascii="仿宋_GB2312" w:hAnsi="仿宋_GB2312" w:eastAsia="仿宋_GB2312" w:cs="仿宋_GB2312"/>
                <w:bCs/>
                <w:sz w:val="24"/>
              </w:rPr>
              <w:t>旅游公共服务体系情况（标识引导系统、线上旅游信息服务、线下综合服务中心、智慧旅游建设、旅游交通服务、旅游厕所革命等）</w:t>
            </w: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p>
            <w:pPr>
              <w:tabs>
                <w:tab w:val="left" w:pos="420"/>
              </w:tabs>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6936" w:hRule="atLeast"/>
          <w:jc w:val="center"/>
        </w:trPr>
        <w:tc>
          <w:tcPr>
            <w:tcW w:w="9516" w:type="dxa"/>
            <w:gridSpan w:val="22"/>
            <w:noWrap w:val="0"/>
            <w:vAlign w:val="top"/>
          </w:tcPr>
          <w:p>
            <w:pPr>
              <w:spacing w:line="44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游客综合满意度情况</w:t>
            </w:r>
          </w:p>
          <w:p>
            <w:pPr>
              <w:ind w:left="549"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850" w:hRule="atLeast"/>
          <w:jc w:val="center"/>
        </w:trPr>
        <w:tc>
          <w:tcPr>
            <w:tcW w:w="9516" w:type="dxa"/>
            <w:gridSpan w:val="22"/>
            <w:noWrap w:val="0"/>
            <w:vAlign w:val="top"/>
          </w:tcPr>
          <w:p>
            <w:pPr>
              <w:spacing w:line="44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知名度和品牌影响力情况</w:t>
            </w:r>
          </w:p>
          <w:p>
            <w:pPr>
              <w:ind w:left="549" w:firstLine="0" w:firstLineChars="0"/>
              <w:rPr>
                <w:rFonts w:hint="eastAsia" w:ascii="仿宋_GB2312" w:hAnsi="仿宋_GB2312" w:eastAsia="仿宋_GB2312" w:cs="仿宋_GB2312"/>
                <w:sz w:val="24"/>
                <w:szCs w:val="24"/>
              </w:rPr>
            </w:pPr>
          </w:p>
        </w:tc>
      </w:tr>
    </w:tbl>
    <w:p>
      <w:pPr>
        <w:rPr>
          <w:rFonts w:ascii="黑体" w:hAnsi="宋体"/>
          <w:szCs w:val="21"/>
        </w:rPr>
      </w:pPr>
    </w:p>
    <w:p>
      <w:pPr>
        <w:adjustRightInd w:val="0"/>
        <w:ind w:firstLine="640" w:firstLineChars="200"/>
        <w:rPr>
          <w:rFonts w:hint="eastAsia" w:ascii="黑体" w:hAnsi="黑体" w:eastAsia="黑体" w:cs="黑体"/>
          <w:sz w:val="32"/>
          <w:szCs w:val="32"/>
        </w:rPr>
      </w:pPr>
      <w:r>
        <w:rPr>
          <w:rStyle w:val="7"/>
          <w:rFonts w:hint="eastAsia" w:ascii="黑体" w:hAnsi="黑体" w:eastAsia="黑体" w:cs="黑体"/>
          <w:sz w:val="32"/>
          <w:lang w:eastAsia="zh-CN"/>
        </w:rPr>
        <w:t>四</w:t>
      </w:r>
      <w:r>
        <w:rPr>
          <w:rStyle w:val="7"/>
          <w:rFonts w:hint="eastAsia" w:ascii="黑体" w:hAnsi="黑体" w:cs="黑体"/>
          <w:sz w:val="32"/>
        </w:rPr>
        <w:t>、国家级滑雪旅游度假地申请</w:t>
      </w:r>
      <w:r>
        <w:rPr>
          <w:rFonts w:hint="eastAsia" w:ascii="黑体" w:hAnsi="黑体" w:eastAsia="黑体" w:cs="黑体"/>
          <w:bCs/>
          <w:sz w:val="32"/>
          <w:szCs w:val="32"/>
        </w:rPr>
        <w:t>（由申报单位填写）</w:t>
      </w:r>
    </w:p>
    <w:tbl>
      <w:tblPr>
        <w:tblStyle w:val="5"/>
        <w:tblW w:w="87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4" w:hRule="atLeast"/>
          <w:jc w:val="center"/>
        </w:trPr>
        <w:tc>
          <w:tcPr>
            <w:tcW w:w="8783" w:type="dxa"/>
            <w:noWrap w:val="0"/>
            <w:vAlign w:val="top"/>
          </w:tcPr>
          <w:p>
            <w:pPr>
              <w:rPr>
                <w:rFonts w:ascii="宋体" w:hAnsi="宋体"/>
                <w:szCs w:val="21"/>
              </w:rPr>
            </w:pPr>
            <w:r>
              <w:rPr>
                <w:rFonts w:hint="eastAsia" w:ascii="宋体" w:hAnsi="宋体"/>
                <w:szCs w:val="21"/>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根据行业标准《滑雪旅游度假地等级划分》（LB/T 083-2021），本滑雪旅游度假地自愿申报国家级滑雪旅游度假地，并全面填写申请报告书的各项数据，对其真实性负责。</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滑雪旅游度假地所在县级人民政府负责人签字：</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滑雪旅游度假地所在县级人民政府（公章）</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rPr>
                <w:rFonts w:hint="eastAsia" w:ascii="仿宋_GB2312" w:hAnsi="仿宋_GB2312" w:eastAsia="仿宋_GB2312" w:cs="仿宋_GB2312"/>
                <w:sz w:val="24"/>
              </w:rPr>
            </w:pPr>
          </w:p>
        </w:tc>
      </w:tr>
    </w:tbl>
    <w:p>
      <w:pPr>
        <w:pStyle w:val="3"/>
        <w:keepNext w:val="0"/>
        <w:keepLines w:val="0"/>
        <w:pageBreakBefore w:val="0"/>
        <w:widowControl w:val="0"/>
        <w:kinsoku/>
        <w:wordWrap/>
        <w:overflowPunct/>
        <w:topLinePunct w:val="0"/>
        <w:autoSpaceDE/>
        <w:autoSpaceDN/>
        <w:bidi w:val="0"/>
        <w:adjustRightInd w:val="0"/>
        <w:snapToGrid w:val="0"/>
        <w:spacing w:before="0" w:after="0" w:line="600" w:lineRule="exact"/>
        <w:ind w:left="0" w:firstLine="600" w:firstLineChars="200"/>
        <w:textAlignment w:val="auto"/>
        <w:rPr>
          <w:sz w:val="32"/>
        </w:rPr>
      </w:pPr>
      <w:r>
        <w:br w:type="page"/>
      </w:r>
      <w:r>
        <w:rPr>
          <w:rFonts w:hint="eastAsia"/>
          <w:sz w:val="32"/>
          <w:lang w:eastAsia="zh-CN"/>
        </w:rPr>
        <w:t>五</w:t>
      </w:r>
      <w:r>
        <w:rPr>
          <w:rFonts w:hint="eastAsia"/>
          <w:sz w:val="32"/>
        </w:rPr>
        <w:t>、当地文化和旅游行政部门审核意见</w:t>
      </w:r>
    </w:p>
    <w:tbl>
      <w:tblPr>
        <w:tblStyle w:val="5"/>
        <w:tblW w:w="86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2" w:hRule="atLeast"/>
          <w:jc w:val="center"/>
        </w:trPr>
        <w:tc>
          <w:tcPr>
            <w:tcW w:w="8647" w:type="dxa"/>
            <w:noWrap w:val="0"/>
            <w:vAlign w:val="top"/>
          </w:tcPr>
          <w:p>
            <w:pPr>
              <w:spacing w:line="324" w:lineRule="auto"/>
              <w:rPr>
                <w:rFonts w:ascii="宋体" w:hAnsi="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负责人签字：</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spacing w:line="324"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 xml:space="preserve">       地市级文化和旅游行政部门（公章）</w:t>
            </w:r>
          </w:p>
          <w:p>
            <w:pPr>
              <w:spacing w:line="324" w:lineRule="auto"/>
              <w:ind w:firstLine="960" w:firstLineChars="400"/>
              <w:rPr>
                <w:rFonts w:hint="eastAsia" w:ascii="仿宋_GB2312" w:hAnsi="仿宋_GB2312" w:eastAsia="仿宋_GB2312" w:cs="仿宋_GB2312"/>
                <w:sz w:val="24"/>
              </w:rPr>
            </w:pPr>
          </w:p>
          <w:p>
            <w:r>
              <w:rPr>
                <w:rFonts w:hint="eastAsia" w:ascii="仿宋_GB2312" w:hAnsi="仿宋_GB2312" w:eastAsia="仿宋_GB2312" w:cs="仿宋_GB2312"/>
                <w:sz w:val="24"/>
              </w:rPr>
              <w:t xml:space="preserve">                                    年    月     日    </w:t>
            </w:r>
          </w:p>
          <w:p>
            <w:r>
              <w:rPr>
                <w:rFonts w:hint="eastAsia" w:ascii="仿宋_GB2312" w:hAnsi="仿宋_GB2312" w:eastAsia="仿宋_GB2312" w:cs="仿宋_GB2312"/>
                <w:sz w:val="24"/>
              </w:rPr>
              <w:t xml:space="preserve"> </w:t>
            </w:r>
          </w:p>
          <w:p>
            <w:pPr>
              <w:spacing w:line="324" w:lineRule="auto"/>
              <w:rPr>
                <w:rFonts w:ascii="宋体" w:hAnsi="宋体"/>
                <w:szCs w:val="21"/>
              </w:rPr>
            </w:pPr>
          </w:p>
        </w:tc>
      </w:tr>
    </w:tbl>
    <w:p>
      <w:pPr>
        <w:jc w:val="center"/>
        <w:rPr>
          <w:rFonts w:hint="eastAsia" w:ascii="方正小标宋简体" w:hAnsi="方正小标宋简体" w:eastAsia="方正小标宋简体"/>
          <w:color w:val="000000"/>
          <w:sz w:val="48"/>
          <w:szCs w:val="36"/>
        </w:rPr>
      </w:pPr>
      <w:r>
        <w:br w:type="page"/>
      </w:r>
    </w:p>
    <w:p>
      <w:pPr>
        <w:jc w:val="center"/>
        <w:rPr>
          <w:rFonts w:hint="eastAsia" w:ascii="方正小标宋简体" w:hAnsi="方正小标宋简体" w:eastAsia="方正小标宋简体"/>
          <w:color w:val="000000"/>
          <w:sz w:val="48"/>
          <w:szCs w:val="36"/>
        </w:rPr>
      </w:pPr>
    </w:p>
    <w:p>
      <w:pPr>
        <w:jc w:val="center"/>
        <w:rPr>
          <w:rFonts w:hint="eastAsia" w:ascii="方正小标宋简体" w:hAnsi="方正小标宋简体" w:eastAsia="方正小标宋简体"/>
          <w:color w:val="000000"/>
          <w:sz w:val="48"/>
          <w:szCs w:val="36"/>
        </w:rPr>
      </w:pPr>
    </w:p>
    <w:p>
      <w:pPr>
        <w:jc w:val="center"/>
        <w:rPr>
          <w:rFonts w:ascii="方正小标宋简体" w:hAnsi="方正小标宋简体" w:eastAsia="方正小标宋简体"/>
          <w:color w:val="000000"/>
          <w:sz w:val="48"/>
          <w:szCs w:val="36"/>
        </w:rPr>
      </w:pPr>
      <w:r>
        <w:rPr>
          <w:rFonts w:hint="eastAsia" w:ascii="方正小标宋简体" w:hAnsi="方正小标宋简体" w:eastAsia="方正小标宋简体"/>
          <w:color w:val="000000"/>
          <w:sz w:val="48"/>
          <w:szCs w:val="36"/>
          <w:lang w:eastAsia="zh-CN"/>
        </w:rPr>
        <w:t>六、</w:t>
      </w:r>
      <w:r>
        <w:rPr>
          <w:rFonts w:hint="eastAsia" w:ascii="方正小标宋简体" w:hAnsi="方正小标宋简体" w:eastAsia="方正小标宋简体"/>
          <w:color w:val="000000"/>
          <w:sz w:val="48"/>
          <w:szCs w:val="36"/>
        </w:rPr>
        <w:t>国家级滑雪旅游度假地</w:t>
      </w:r>
      <w:r>
        <w:rPr>
          <w:rFonts w:hint="eastAsia" w:ascii="方正小标宋简体" w:hAnsi="方正小标宋简体" w:eastAsia="方正小标宋简体"/>
          <w:color w:val="000000"/>
          <w:sz w:val="48"/>
          <w:szCs w:val="36"/>
          <w:lang w:eastAsia="zh-CN"/>
        </w:rPr>
        <w:t>评</w:t>
      </w:r>
      <w:r>
        <w:rPr>
          <w:rFonts w:hint="eastAsia" w:ascii="方正小标宋简体" w:hAnsi="方正小标宋简体" w:eastAsia="方正小标宋简体"/>
          <w:color w:val="000000"/>
          <w:sz w:val="48"/>
          <w:szCs w:val="36"/>
        </w:rPr>
        <w:t>分细则</w:t>
      </w: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hint="eastAsia" w:ascii="仿宋_GB2312" w:hAnsi="仿宋_GB2312" w:eastAsia="仿宋_GB2312" w:cs="仿宋_GB2312"/>
          <w:b/>
          <w:color w:val="000000"/>
          <w:sz w:val="36"/>
          <w:szCs w:val="36"/>
        </w:rPr>
      </w:pPr>
    </w:p>
    <w:p/>
    <w:p>
      <w:pPr>
        <w:adjustRightInd w:val="0"/>
        <w:snapToGrid w:val="0"/>
        <w:spacing w:line="360" w:lineRule="auto"/>
        <w:rPr>
          <w:rFonts w:ascii="宋体" w:hAnsi="宋体"/>
          <w:b/>
          <w:color w:val="000000"/>
          <w:sz w:val="24"/>
          <w:szCs w:val="28"/>
        </w:rPr>
      </w:pPr>
      <w:r>
        <w:rPr>
          <w:rFonts w:ascii="宋体" w:hAnsi="宋体"/>
          <w:b/>
          <w:color w:val="000000"/>
          <w:sz w:val="24"/>
          <w:szCs w:val="28"/>
        </w:rPr>
        <w:br w:type="page"/>
      </w:r>
    </w:p>
    <w:p>
      <w:pPr>
        <w:jc w:val="center"/>
        <w:outlineLvl w:val="0"/>
        <w:rPr>
          <w:rFonts w:eastAsia="黑体"/>
          <w:bCs/>
          <w:color w:val="000000"/>
          <w:kern w:val="44"/>
          <w:sz w:val="32"/>
          <w:szCs w:val="32"/>
        </w:rPr>
      </w:pPr>
      <w:r>
        <w:rPr>
          <w:rFonts w:eastAsia="黑体"/>
          <w:bCs/>
          <w:color w:val="000000"/>
          <w:kern w:val="44"/>
          <w:sz w:val="32"/>
          <w:szCs w:val="32"/>
        </w:rPr>
        <w:t>说</w:t>
      </w:r>
      <w:r>
        <w:rPr>
          <w:rFonts w:hint="eastAsia" w:eastAsia="黑体"/>
          <w:bCs/>
          <w:color w:val="000000"/>
          <w:kern w:val="44"/>
          <w:sz w:val="32"/>
          <w:szCs w:val="32"/>
        </w:rPr>
        <w:t xml:space="preserve"> </w:t>
      </w:r>
      <w:r>
        <w:rPr>
          <w:rFonts w:eastAsia="黑体"/>
          <w:bCs/>
          <w:color w:val="000000"/>
          <w:kern w:val="44"/>
          <w:sz w:val="32"/>
          <w:szCs w:val="32"/>
        </w:rPr>
        <w:t xml:space="preserve">  明</w:t>
      </w:r>
    </w:p>
    <w:p>
      <w:pPr>
        <w:pStyle w:val="2"/>
        <w:keepNext w:val="0"/>
        <w:keepLines w:val="0"/>
        <w:numPr>
          <w:ilvl w:val="0"/>
          <w:numId w:val="0"/>
        </w:numPr>
        <w:adjustRightInd w:val="0"/>
        <w:snapToGrid/>
        <w:spacing w:before="0" w:after="0" w:line="600" w:lineRule="exact"/>
        <w:ind w:firstLine="602" w:firstLineChars="200"/>
        <w:jc w:val="both"/>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主要依据《滑雪旅游度假地等级划分》标准（LB/T 083-2021）及相关规定制定本细则。</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1、本细则共三部分，第一部分为强制性指标，主要依据《滑雪旅游度假地等级划分》行业标准（LB/T 083-2021）中规定的滑雪旅游度假地的基本条件；第二部分为基础评价，主要依据《滑雪旅游度假地等级划分》行业标准（LB/T 083-2021）中滑雪资源、设施设备和度假产品的相关规定；第三部分为综合评价，主要依据《滑雪旅游度假地等级划分》行业标准（LB/T 083-2021）中规定的国家级滑雪度假地评定条件。</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2、进行第一部分强制性指标评价时，须对每一项指标进行评分，结果分为“合格”和“不合格”两种：各项指标均合格时，总评为“合格”；有任意一项或以上指标不合格，总评为“不合格”。</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3、进行第二部分基础评价时，由评定组成员分别对评价项目计分，最后汇总计算分数。</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4、第三部分综合评价的满分为1000分。</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5、第三部分“多选”项目，分值须累加；其余为“单选”。</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6、第二部分基础评价，国家级滑雪旅游度假地须达到85分；第三部分滑雪旅游度假地综合评价，国家级滑雪旅游度假地须达到900分。</w:t>
      </w:r>
    </w:p>
    <w:p>
      <w:pPr>
        <w:ind w:firstLine="420" w:firstLineChars="200"/>
        <w:outlineLvl w:val="0"/>
        <w:rPr>
          <w:rFonts w:eastAsia="黑体"/>
          <w:bCs/>
          <w:color w:val="000000"/>
          <w:kern w:val="44"/>
          <w:sz w:val="28"/>
          <w:szCs w:val="44"/>
        </w:rPr>
      </w:pPr>
      <w:r>
        <w:rPr>
          <w:color w:val="000000"/>
        </w:rPr>
        <w:br w:type="page"/>
      </w:r>
      <w:r>
        <w:rPr>
          <w:rFonts w:hint="eastAsia" w:eastAsia="黑体"/>
          <w:bCs/>
          <w:color w:val="000000"/>
          <w:kern w:val="44"/>
          <w:sz w:val="28"/>
          <w:szCs w:val="44"/>
        </w:rPr>
        <w:t>第一部分 强制性指标</w:t>
      </w:r>
    </w:p>
    <w:tbl>
      <w:tblPr>
        <w:tblStyle w:val="5"/>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23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noWrap w:val="0"/>
            <w:vAlign w:val="center"/>
          </w:tcPr>
          <w:p>
            <w:pPr>
              <w:adjustRightInd w:val="0"/>
              <w:snapToGrid w:val="0"/>
              <w:jc w:val="center"/>
              <w:rPr>
                <w:rFonts w:ascii="黑体" w:hAnsi="黑体" w:eastAsia="黑体"/>
                <w:color w:val="000000"/>
                <w:sz w:val="20"/>
                <w:szCs w:val="20"/>
              </w:rPr>
            </w:pPr>
          </w:p>
        </w:tc>
        <w:tc>
          <w:tcPr>
            <w:tcW w:w="6237" w:type="dxa"/>
            <w:noWrap w:val="0"/>
            <w:vAlign w:val="center"/>
          </w:tcPr>
          <w:p>
            <w:pPr>
              <w:adjustRightInd w:val="0"/>
              <w:snapToGrid w:val="0"/>
              <w:jc w:val="center"/>
              <w:rPr>
                <w:rFonts w:ascii="黑体" w:hAnsi="黑体" w:eastAsia="黑体"/>
                <w:color w:val="000000"/>
                <w:sz w:val="20"/>
                <w:szCs w:val="20"/>
              </w:rPr>
            </w:pPr>
            <w:r>
              <w:rPr>
                <w:rFonts w:hint="eastAsia" w:ascii="黑体" w:hAnsi="黑体" w:eastAsia="黑体"/>
                <w:color w:val="000000"/>
                <w:sz w:val="20"/>
                <w:szCs w:val="20"/>
              </w:rPr>
              <w:t>指标内容</w:t>
            </w:r>
          </w:p>
        </w:tc>
        <w:tc>
          <w:tcPr>
            <w:tcW w:w="1809" w:type="dxa"/>
            <w:noWrap w:val="0"/>
            <w:vAlign w:val="center"/>
          </w:tcPr>
          <w:p>
            <w:pPr>
              <w:adjustRightInd w:val="0"/>
              <w:snapToGrid w:val="0"/>
              <w:jc w:val="center"/>
              <w:rPr>
                <w:rFonts w:ascii="黑体" w:hAnsi="黑体" w:eastAsia="黑体"/>
                <w:color w:val="000000"/>
                <w:sz w:val="20"/>
                <w:szCs w:val="20"/>
              </w:rPr>
            </w:pPr>
            <w:r>
              <w:rPr>
                <w:rFonts w:hint="eastAsia" w:ascii="黑体" w:hAnsi="黑体" w:eastAsia="黑体"/>
                <w:color w:val="000000"/>
                <w:sz w:val="20"/>
                <w:szCs w:val="20"/>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符合社会主义核心价值观要求，符合绿色低碳发展理念</w:t>
            </w:r>
          </w:p>
        </w:tc>
        <w:tc>
          <w:tcPr>
            <w:tcW w:w="1809" w:type="dxa"/>
            <w:noWrap w:val="0"/>
            <w:vAlign w:val="center"/>
          </w:tcPr>
          <w:p>
            <w:pPr>
              <w:adjustRightInd w:val="0"/>
              <w:snapToGrid w:val="0"/>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应具有空间集聚的滑雪场地设施，核心区面积不少于20km</w:t>
            </w:r>
            <w:r>
              <w:rPr>
                <w:rFonts w:hint="eastAsia" w:ascii="仿宋_GB2312" w:hAnsi="仿宋_GB2312" w:eastAsia="仿宋_GB2312" w:cs="仿宋_GB2312"/>
                <w:color w:val="000000"/>
                <w:szCs w:val="21"/>
                <w:vertAlign w:val="superscript"/>
              </w:rPr>
              <w:t>2</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eastAsia="zh-CN"/>
              </w:rPr>
              <w:t>雪道垂直落差不少于</w:t>
            </w:r>
            <w:r>
              <w:rPr>
                <w:rFonts w:hint="eastAsia" w:ascii="仿宋_GB2312" w:hAnsi="仿宋_GB2312" w:eastAsia="仿宋_GB2312" w:cs="仿宋_GB2312"/>
                <w:color w:val="000000"/>
                <w:szCs w:val="21"/>
                <w:lang w:val="en-US" w:eastAsia="zh-CN"/>
              </w:rPr>
              <w:t>350m，</w:t>
            </w:r>
            <w:r>
              <w:rPr>
                <w:rFonts w:hint="eastAsia" w:ascii="仿宋_GB2312" w:hAnsi="仿宋_GB2312" w:eastAsia="仿宋_GB2312" w:cs="仿宋_GB2312"/>
                <w:color w:val="000000"/>
                <w:szCs w:val="21"/>
              </w:rPr>
              <w:t>雪道总面积不应少于</w:t>
            </w:r>
            <w:r>
              <w:rPr>
                <w:rFonts w:hint="eastAsia" w:ascii="仿宋_GB2312" w:hAnsi="仿宋_GB2312" w:eastAsia="仿宋_GB2312" w:cs="仿宋_GB2312"/>
                <w:color w:val="000000"/>
                <w:kern w:val="0"/>
                <w:szCs w:val="21"/>
              </w:rPr>
              <w:t>100h</w:t>
            </w:r>
            <w:r>
              <w:rPr>
                <w:rFonts w:hint="eastAsia" w:ascii="仿宋_GB2312" w:hAnsi="仿宋_GB2312" w:eastAsia="仿宋_GB2312" w:cs="仿宋_GB2312"/>
                <w:color w:val="000000"/>
                <w:szCs w:val="21"/>
              </w:rPr>
              <w:t>m</w:t>
            </w:r>
            <w:r>
              <w:rPr>
                <w:rFonts w:hint="eastAsia" w:ascii="仿宋_GB2312" w:hAnsi="仿宋_GB2312" w:eastAsia="仿宋_GB2312" w:cs="仿宋_GB2312"/>
                <w:color w:val="000000"/>
                <w:szCs w:val="21"/>
                <w:vertAlign w:val="superscript"/>
              </w:rPr>
              <w:t>2</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核心区日最大接待游客环境容量不少于5000人，单雪季游客人数不应少于 20 万人次</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压雪车数量不应少于 5 辆，设备正常运行</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6237" w:type="dxa"/>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应有滑雪学校，不同级别的滑雪指导员不应少于 300 人。能够对成人、儿童滑雪进行分类教学与培训</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应有不少于20种滑雪旅游和休闲娱乐活动项目，户外和室内休闲活动类型分别达到10种以上</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核心区可用于租赁的滑雪器材装备数量不应少于 2500 套，并有数量配套的头盔和雪镜；儿童板数量不应少于滑雪器材装备总量的 15%，单板数量不应少于滑雪器材装备总量的 1/3</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各种类型的住宿接待设施配置合理，达到 GB/T 14308 三星级（含）以上标准和高品质的住宿接待设施宜占住宿接待设施总量的 50%以上</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应与周边核心旅游客源市场建立高速公路、高速铁路、航空等立体化便捷的交通联系，有抵达核心区的便捷公共交通</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核心区内WiFi全覆盖，应有旅游交通引导系统，实现智慧停车，停车场应设置电子监控系统、电动汽车充电桩</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11</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应有有效的生态环境保护措施，符合国土空间规划相关要求，环境质量达到相应国家标准，核心区厕所应达到 GB/T 18973 规定的 AA 级及以上标准</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核心区内应具有综合防灾体系和滑雪旅游安全紧急救援机制</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13</w:t>
            </w:r>
          </w:p>
        </w:tc>
        <w:tc>
          <w:tcPr>
            <w:tcW w:w="6237" w:type="dxa"/>
            <w:noWrap w:val="0"/>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应有符合国家基本公共卫生服务规范的传染病及突发公共卫生事件报告和处理体系</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noWrap w:val="0"/>
            <w:vAlign w:val="center"/>
          </w:tcPr>
          <w:p>
            <w:pPr>
              <w:adjustRightInd w:val="0"/>
              <w:snapToGrid w:val="0"/>
              <w:jc w:val="center"/>
              <w:rPr>
                <w:rFonts w:hint="eastAsia" w:ascii="仿宋_GB2312" w:hAnsi="仿宋_GB2312" w:eastAsia="仿宋_GB2312" w:cs="仿宋_GB2312"/>
                <w:color w:val="000000"/>
                <w:szCs w:val="21"/>
              </w:rPr>
            </w:pPr>
          </w:p>
        </w:tc>
        <w:tc>
          <w:tcPr>
            <w:tcW w:w="6237" w:type="dxa"/>
            <w:noWrap w:val="0"/>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总评</w:t>
            </w:r>
          </w:p>
        </w:tc>
        <w:tc>
          <w:tcPr>
            <w:tcW w:w="1809" w:type="dxa"/>
            <w:noWrap w:val="0"/>
            <w:vAlign w:val="top"/>
          </w:tcPr>
          <w:p>
            <w:pPr>
              <w:adjustRightInd w:val="0"/>
              <w:snapToGrid w:val="0"/>
              <w:rPr>
                <w:rFonts w:hint="eastAsia" w:ascii="仿宋_GB2312" w:hAnsi="仿宋_GB2312" w:eastAsia="仿宋_GB2312" w:cs="仿宋_GB2312"/>
                <w:color w:val="000000"/>
                <w:szCs w:val="21"/>
              </w:rPr>
            </w:pPr>
          </w:p>
        </w:tc>
      </w:tr>
    </w:tbl>
    <w:p/>
    <w:p>
      <w:pPr>
        <w:ind w:firstLine="560" w:firstLineChars="200"/>
        <w:outlineLvl w:val="0"/>
        <w:rPr>
          <w:rFonts w:eastAsia="黑体"/>
          <w:bCs/>
          <w:color w:val="000000"/>
          <w:kern w:val="44"/>
          <w:sz w:val="28"/>
          <w:szCs w:val="44"/>
        </w:rPr>
      </w:pPr>
      <w:r>
        <w:rPr>
          <w:rFonts w:eastAsia="黑体"/>
          <w:bCs/>
          <w:color w:val="000000"/>
          <w:kern w:val="44"/>
          <w:sz w:val="28"/>
          <w:szCs w:val="44"/>
        </w:rPr>
        <w:br w:type="page"/>
      </w:r>
      <w:r>
        <w:drawing>
          <wp:anchor distT="0" distB="0" distL="114300" distR="114300" simplePos="0" relativeHeight="251659264" behindDoc="0" locked="0" layoutInCell="1" allowOverlap="1">
            <wp:simplePos x="0" y="0"/>
            <wp:positionH relativeFrom="column">
              <wp:posOffset>172720</wp:posOffset>
            </wp:positionH>
            <wp:positionV relativeFrom="paragraph">
              <wp:posOffset>-289560</wp:posOffset>
            </wp:positionV>
            <wp:extent cx="5198745" cy="8646160"/>
            <wp:effectExtent l="0" t="0" r="13335" b="1016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198745" cy="8646160"/>
                    </a:xfrm>
                    <a:prstGeom prst="rect">
                      <a:avLst/>
                    </a:prstGeom>
                    <a:noFill/>
                    <a:ln>
                      <a:noFill/>
                    </a:ln>
                  </pic:spPr>
                </pic:pic>
              </a:graphicData>
            </a:graphic>
          </wp:anchor>
        </w:drawing>
      </w:r>
      <w:r>
        <w:rPr>
          <w:rFonts w:eastAsia="黑体"/>
          <w:bCs/>
          <w:color w:val="000000"/>
          <w:kern w:val="44"/>
          <w:sz w:val="28"/>
          <w:szCs w:val="44"/>
        </w:rPr>
        <w:br w:type="page"/>
      </w:r>
      <w:r>
        <w:rPr>
          <w:rFonts w:eastAsia="黑体"/>
          <w:bCs/>
          <w:color w:val="000000"/>
          <w:kern w:val="44"/>
          <w:sz w:val="28"/>
          <w:szCs w:val="44"/>
        </w:rPr>
        <w:t xml:space="preserve">第三部分 </w:t>
      </w:r>
      <w:r>
        <w:rPr>
          <w:rFonts w:hint="eastAsia" w:eastAsia="黑体"/>
          <w:bCs/>
          <w:color w:val="000000"/>
          <w:kern w:val="44"/>
          <w:sz w:val="28"/>
          <w:szCs w:val="44"/>
        </w:rPr>
        <w:t>国家级</w:t>
      </w:r>
      <w:r>
        <w:rPr>
          <w:rFonts w:eastAsia="黑体"/>
          <w:bCs/>
          <w:color w:val="000000"/>
          <w:kern w:val="44"/>
          <w:sz w:val="28"/>
          <w:szCs w:val="44"/>
        </w:rPr>
        <w:t>滑雪旅游度假地综合</w:t>
      </w:r>
      <w:r>
        <w:rPr>
          <w:rFonts w:hint="eastAsia" w:eastAsia="黑体"/>
          <w:bCs/>
          <w:color w:val="000000"/>
          <w:kern w:val="44"/>
          <w:sz w:val="28"/>
          <w:szCs w:val="44"/>
        </w:rPr>
        <w:t>评价</w:t>
      </w: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6032"/>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序号</w:t>
            </w:r>
          </w:p>
        </w:tc>
        <w:tc>
          <w:tcPr>
            <w:tcW w:w="60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评 定 项 目</w:t>
            </w:r>
          </w:p>
        </w:tc>
        <w:tc>
          <w:tcPr>
            <w:tcW w:w="12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项目分值</w:t>
            </w:r>
          </w:p>
        </w:tc>
        <w:tc>
          <w:tcPr>
            <w:tcW w:w="12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选项类型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1</w:t>
            </w:r>
            <w:r>
              <w:rPr>
                <w:rFonts w:eastAsia="黑体" w:cs="Calibri"/>
                <w:b/>
                <w:bCs/>
                <w:color w:val="000000"/>
                <w:kern w:val="0"/>
                <w:sz w:val="14"/>
                <w:szCs w:val="14"/>
              </w:rPr>
              <w:t xml:space="preserve">    </w:t>
            </w:r>
            <w:r>
              <w:rPr>
                <w:rFonts w:hint="eastAsia" w:ascii="黑体" w:hAnsi="黑体" w:eastAsia="黑体" w:cs="宋体"/>
                <w:b/>
                <w:bCs/>
                <w:color w:val="000000"/>
                <w:kern w:val="0"/>
                <w:sz w:val="24"/>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区域条件与环境</w:t>
            </w:r>
          </w:p>
        </w:tc>
        <w:tc>
          <w:tcPr>
            <w:tcW w:w="12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135</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1.1</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区域条件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1.1.</w:t>
            </w:r>
            <w:r>
              <w:rPr>
                <w:rFonts w:ascii="楷体_GB2312" w:hAnsi="楷体_GB2312" w:eastAsia="楷体_GB2312" w:cs="宋体"/>
                <w:b/>
                <w:bCs/>
                <w:color w:val="000000"/>
                <w:kern w:val="0"/>
                <w:sz w:val="20"/>
                <w:szCs w:val="20"/>
              </w:rPr>
              <w:t>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所在区域的旅游形象及度假氛围</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所在区域旅游营销具有鲜明形象，已形成较好的区域性度假氛围</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所在区域旅游营销具有形象，区域性度假氛围正在形成</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所在区域有统一旅游营销，但尚未形成品牌，尚无区域性度假氛围</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1.1.</w:t>
            </w:r>
            <w:r>
              <w:rPr>
                <w:rFonts w:ascii="楷体_GB2312" w:hAnsi="楷体_GB2312" w:eastAsia="楷体_GB2312" w:cs="宋体"/>
                <w:b/>
                <w:bCs/>
                <w:color w:val="000000"/>
                <w:kern w:val="0"/>
                <w:sz w:val="20"/>
                <w:szCs w:val="20"/>
              </w:rPr>
              <w:t>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区域规划</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度假地是区域旅游发展规划的重点项目</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度假地核心区是省级或市级重点旅游发展区</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度假地周边用地的功能对度假地无负面影响</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1.1.</w:t>
            </w:r>
            <w:r>
              <w:rPr>
                <w:rFonts w:ascii="楷体_GB2312" w:hAnsi="楷体_GB2312" w:eastAsia="楷体_GB2312" w:cs="宋体"/>
                <w:b/>
                <w:bCs/>
                <w:color w:val="000000"/>
                <w:kern w:val="0"/>
                <w:sz w:val="20"/>
                <w:szCs w:val="20"/>
              </w:rPr>
              <w:t>3</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区域旅游统筹</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所在地区（市或县）整体打造为一个旅游目的地，具有统一的目的地服务体系和营销体系</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度假地与区域内的其他旅游（景）区（点）交通便利并建立良好合作关系</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1.2</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核心区可达性</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30</w:t>
            </w:r>
          </w:p>
        </w:tc>
        <w:tc>
          <w:tcPr>
            <w:tcW w:w="12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1.2.1</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依托机场可达性</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距离依托机场机动车程≤2小时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2～3.5小时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3.5～5小时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1.2.2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依托高铁站可达性</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距离依托高铁站机动车程≤2小时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2～3.5小时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3.5～5小时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1.2.3</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高速路可达性</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距离高速路出口机动车程≤0.</w:t>
            </w:r>
            <w:r>
              <w:rPr>
                <w:rFonts w:ascii="宋体" w:hAnsi="宋体" w:cs="宋体"/>
                <w:color w:val="000000"/>
                <w:kern w:val="0"/>
                <w:sz w:val="20"/>
                <w:szCs w:val="20"/>
              </w:rPr>
              <w:t>5</w:t>
            </w:r>
            <w:r>
              <w:rPr>
                <w:rFonts w:hint="eastAsia" w:ascii="宋体" w:hAnsi="宋体" w:cs="宋体"/>
                <w:color w:val="000000"/>
                <w:kern w:val="0"/>
                <w:sz w:val="20"/>
                <w:szCs w:val="20"/>
              </w:rPr>
              <w:t>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w:t>
            </w:r>
            <w:r>
              <w:rPr>
                <w:rFonts w:ascii="宋体" w:hAnsi="宋体" w:cs="宋体"/>
                <w:color w:val="000000"/>
                <w:kern w:val="0"/>
                <w:sz w:val="20"/>
                <w:szCs w:val="20"/>
              </w:rPr>
              <w:t>5</w:t>
            </w: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～2小时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1.3</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交通便捷度及舒适性</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20</w:t>
            </w:r>
          </w:p>
        </w:tc>
        <w:tc>
          <w:tcPr>
            <w:tcW w:w="12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1.3.1</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公共交通</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依托机场、火车站与度假地之间有定时发车的公共交通直达专线</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直达专线的等候时间不超过40分钟（白天）</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有价格合理的可预约专线</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1.3.2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旅游道路的便捷性和观赏性</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12</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在不破坏生态环境的前提下合理选线，将连接交通枢纽或高速公路出口与滑雪度假地的交通线路设计为旅游风景路</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旅游风景路路况很好，没有货运卡车通过</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区外交通很便捷，很舒适，交通方式选择多样</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single" w:color="000000"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1.4</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自然环境</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30</w:t>
            </w:r>
          </w:p>
        </w:tc>
        <w:tc>
          <w:tcPr>
            <w:tcW w:w="12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eastAsia="黑体"/>
                <w:b/>
                <w:bCs/>
                <w:color w:val="000000"/>
                <w:kern w:val="0"/>
                <w:sz w:val="20"/>
                <w:szCs w:val="20"/>
              </w:rPr>
            </w:pPr>
            <w:r>
              <w:rPr>
                <w:rFonts w:ascii="楷体_GB2312" w:hAnsi="楷体_GB2312" w:eastAsia="楷体_GB2312" w:cs="宋体"/>
                <w:b/>
                <w:bCs/>
                <w:color w:val="000000"/>
                <w:kern w:val="0"/>
                <w:sz w:val="20"/>
                <w:szCs w:val="20"/>
              </w:rPr>
              <w:t xml:space="preserve">1.4.1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楷体_GB2312" w:hAnsi="楷体_GB2312" w:eastAsia="楷体_GB2312" w:cs="宋体"/>
                <w:b/>
                <w:bCs/>
                <w:color w:val="000000"/>
                <w:kern w:val="0"/>
                <w:sz w:val="20"/>
                <w:szCs w:val="20"/>
              </w:rPr>
              <w:t>存雪期</w:t>
            </w:r>
          </w:p>
        </w:tc>
        <w:tc>
          <w:tcPr>
            <w:tcW w:w="1266" w:type="dxa"/>
            <w:tcBorders>
              <w:top w:val="nil"/>
              <w:left w:val="nil"/>
              <w:bottom w:val="single" w:color="auto" w:sz="4" w:space="0"/>
              <w:right w:val="single" w:color="auto" w:sz="4" w:space="0"/>
            </w:tcBorders>
            <w:noWrap w:val="0"/>
            <w:vAlign w:val="center"/>
          </w:tcPr>
          <w:p>
            <w:pPr>
              <w:widowControl/>
              <w:jc w:val="center"/>
              <w:rPr>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eastAsia="黑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＞4个月</w:t>
            </w:r>
          </w:p>
        </w:tc>
        <w:tc>
          <w:tcPr>
            <w:tcW w:w="126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eastAsia="黑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-4</w:t>
            </w:r>
            <w:r>
              <w:rPr>
                <w:rFonts w:hint="eastAsia" w:ascii="宋体" w:hAnsi="宋体" w:cs="宋体"/>
                <w:color w:val="000000"/>
                <w:kern w:val="0"/>
                <w:sz w:val="20"/>
                <w:szCs w:val="20"/>
              </w:rPr>
              <w:t>个月</w:t>
            </w:r>
          </w:p>
        </w:tc>
        <w:tc>
          <w:tcPr>
            <w:tcW w:w="126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left w:val="single" w:color="auto" w:sz="4" w:space="0"/>
              <w:bottom w:val="single" w:color="auto" w:sz="4" w:space="0"/>
              <w:right w:val="single" w:color="auto" w:sz="4" w:space="0"/>
            </w:tcBorders>
            <w:noWrap w:val="0"/>
            <w:vAlign w:val="center"/>
          </w:tcPr>
          <w:p>
            <w:pPr>
              <w:widowControl/>
              <w:jc w:val="left"/>
              <w:rPr>
                <w:rFonts w:eastAsia="楷体_GB2312"/>
                <w:b/>
                <w:bCs/>
                <w:color w:val="000000"/>
                <w:kern w:val="0"/>
                <w:sz w:val="20"/>
                <w:szCs w:val="20"/>
              </w:rPr>
            </w:pPr>
            <w:r>
              <w:rPr>
                <w:rFonts w:ascii="楷体_GB2312" w:hAnsi="楷体_GB2312" w:eastAsia="楷体_GB2312" w:cs="宋体"/>
                <w:b/>
                <w:bCs/>
                <w:color w:val="000000"/>
                <w:kern w:val="0"/>
                <w:sz w:val="20"/>
                <w:szCs w:val="20"/>
              </w:rPr>
              <w:t>1.4.2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积雪深度</w:t>
            </w:r>
          </w:p>
        </w:tc>
        <w:tc>
          <w:tcPr>
            <w:tcW w:w="1266" w:type="dxa"/>
            <w:tcBorders>
              <w:top w:val="nil"/>
              <w:left w:val="nil"/>
              <w:bottom w:val="single" w:color="auto" w:sz="4" w:space="0"/>
              <w:right w:val="single" w:color="auto" w:sz="4" w:space="0"/>
            </w:tcBorders>
            <w:noWrap w:val="0"/>
            <w:vAlign w:val="center"/>
          </w:tcPr>
          <w:p>
            <w:pPr>
              <w:widowControl/>
              <w:jc w:val="center"/>
              <w:rPr>
                <w:b/>
                <w:bCs/>
                <w:color w:val="000000"/>
                <w:kern w:val="0"/>
                <w:sz w:val="20"/>
                <w:szCs w:val="20"/>
              </w:rPr>
            </w:pPr>
            <w:r>
              <w:rPr>
                <w:rFonts w:hint="eastAsia" w:ascii="楷体_GB2312" w:hAnsi="楷体_GB2312" w:eastAsia="楷体_GB2312" w:cs="楷体_GB2312"/>
                <w:b/>
                <w:bCs/>
                <w:color w:val="000000"/>
                <w:kern w:val="0"/>
                <w:sz w:val="20"/>
                <w:szCs w:val="20"/>
              </w:rPr>
              <w:t>7</w:t>
            </w:r>
          </w:p>
        </w:tc>
        <w:tc>
          <w:tcPr>
            <w:tcW w:w="1254" w:type="dxa"/>
            <w:vMerge w:val="restart"/>
            <w:tcBorders>
              <w:left w:val="nil"/>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left w:val="single" w:color="auto" w:sz="4" w:space="0"/>
              <w:right w:val="single" w:color="auto" w:sz="4" w:space="0"/>
            </w:tcBorders>
            <w:noWrap w:val="0"/>
            <w:vAlign w:val="center"/>
          </w:tcPr>
          <w:p>
            <w:pPr>
              <w:widowControl/>
              <w:jc w:val="left"/>
              <w:rPr>
                <w:rFonts w:eastAsia="黑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0cm</w:t>
            </w:r>
          </w:p>
        </w:tc>
        <w:tc>
          <w:tcPr>
            <w:tcW w:w="126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7</w:t>
            </w:r>
          </w:p>
        </w:tc>
        <w:tc>
          <w:tcPr>
            <w:tcW w:w="1254" w:type="dxa"/>
            <w:vMerge w:val="continue"/>
            <w:tcBorders>
              <w:left w:val="nil"/>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eastAsia="黑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50cm-80cm</w:t>
            </w:r>
          </w:p>
        </w:tc>
        <w:tc>
          <w:tcPr>
            <w:tcW w:w="126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1.4.</w:t>
            </w:r>
            <w:r>
              <w:rPr>
                <w:rFonts w:ascii="楷体_GB2312" w:hAnsi="楷体_GB2312" w:eastAsia="楷体_GB2312" w:cs="宋体"/>
                <w:b/>
                <w:bCs/>
                <w:color w:val="000000"/>
                <w:kern w:val="0"/>
                <w:sz w:val="20"/>
                <w:szCs w:val="20"/>
              </w:rPr>
              <w:t>3</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空气质量</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达到GB3095一级标准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1.4.</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负氧离子</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＞1500个/cm</w:t>
            </w:r>
            <w:r>
              <w:rPr>
                <w:rFonts w:ascii="宋体" w:hAnsi="宋体" w:cs="宋体"/>
                <w:color w:val="000000"/>
                <w:kern w:val="0"/>
                <w:sz w:val="20"/>
                <w:szCs w:val="20"/>
                <w:vertAlign w:val="superscript"/>
              </w:rPr>
              <w:t>3</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r>
              <w:rPr>
                <w:rFonts w:ascii="宋体" w:hAnsi="宋体" w:cs="宋体"/>
                <w:color w:val="000000"/>
                <w:kern w:val="0"/>
                <w:sz w:val="20"/>
                <w:szCs w:val="20"/>
              </w:rPr>
              <w:t>1</w:t>
            </w:r>
            <w:r>
              <w:rPr>
                <w:rFonts w:hint="eastAsia" w:ascii="宋体" w:hAnsi="宋体" w:cs="宋体"/>
                <w:color w:val="000000"/>
                <w:kern w:val="0"/>
                <w:sz w:val="20"/>
                <w:szCs w:val="20"/>
              </w:rPr>
              <w:t>-1500个/cm</w:t>
            </w:r>
            <w:r>
              <w:rPr>
                <w:rFonts w:ascii="宋体" w:hAnsi="宋体" w:cs="宋体"/>
                <w:color w:val="000000"/>
                <w:kern w:val="0"/>
                <w:sz w:val="20"/>
                <w:szCs w:val="20"/>
                <w:vertAlign w:val="superscript"/>
              </w:rPr>
              <w:t>3</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w:t>
            </w:r>
            <w:r>
              <w:rPr>
                <w:rFonts w:ascii="宋体" w:hAnsi="宋体" w:cs="宋体"/>
                <w:color w:val="000000"/>
                <w:kern w:val="0"/>
                <w:sz w:val="20"/>
                <w:szCs w:val="20"/>
              </w:rPr>
              <w:t>1</w:t>
            </w:r>
            <w:r>
              <w:rPr>
                <w:rFonts w:hint="eastAsia" w:ascii="宋体" w:hAnsi="宋体" w:cs="宋体"/>
                <w:color w:val="000000"/>
                <w:kern w:val="0"/>
                <w:sz w:val="20"/>
                <w:szCs w:val="20"/>
              </w:rPr>
              <w:t>-1000个/cm</w:t>
            </w:r>
            <w:r>
              <w:rPr>
                <w:rFonts w:ascii="宋体" w:hAnsi="宋体" w:cs="宋体"/>
                <w:color w:val="000000"/>
                <w:kern w:val="0"/>
                <w:sz w:val="20"/>
                <w:szCs w:val="20"/>
                <w:vertAlign w:val="superscript"/>
              </w:rPr>
              <w:t>3</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200-500个/cm</w:t>
            </w:r>
            <w:r>
              <w:rPr>
                <w:rFonts w:ascii="宋体" w:hAnsi="宋体" w:cs="宋体"/>
                <w:color w:val="000000"/>
                <w:kern w:val="0"/>
                <w:sz w:val="20"/>
                <w:szCs w:val="20"/>
                <w:vertAlign w:val="superscript"/>
              </w:rPr>
              <w:t>3</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1.4.</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地表水水域环境质量</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符合GB3838Ⅱ类标准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符合GB3838Ⅲ类标准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无地表水水域</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1.5</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人文环境</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25</w:t>
            </w:r>
          </w:p>
        </w:tc>
        <w:tc>
          <w:tcPr>
            <w:tcW w:w="12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 xml:space="preserve">1.5.1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建筑布局与地形地貌协调</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功能布局合理，选址及布局模式与自然地形地貌协调</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功能布局比较合理，选址或布局模式对自然地形地貌有一定改变</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1.5.2</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工业企业排放严格遵守环保要求</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工业企业排放严格遵守有关环保要求，无重大环保污染事件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single" w:color="000000" w:sz="4" w:space="0"/>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 xml:space="preserve">1.5.3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规划与建筑总体风貌特色</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规则组织合理、尺度合适；建筑与环境有机融合，具有突出的创意性或地方特色</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规划组织合理、尺度合适；建筑与环境有机融合，但无明显创意性或地方特色</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住宿接待设施环境噪声质量（依据GB3096环境噪声标准）</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符合0类标准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符合1类标准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人文氛围的综合评价</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总体度假休闲氛围浓厚，地方文化特色鲜明</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总体度假休闲氛围较为浓厚，地方文化特色较为鲜明</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1.6</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规划建设</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5</w:t>
            </w:r>
          </w:p>
        </w:tc>
        <w:tc>
          <w:tcPr>
            <w:tcW w:w="12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1.6.</w:t>
            </w:r>
            <w:r>
              <w:rPr>
                <w:rFonts w:ascii="楷体_GB2312" w:hAnsi="楷体_GB2312" w:eastAsia="楷体_GB2312" w:cs="宋体"/>
                <w:b/>
                <w:bCs/>
                <w:color w:val="000000"/>
                <w:kern w:val="0"/>
                <w:sz w:val="20"/>
                <w:szCs w:val="20"/>
              </w:rPr>
              <w:t>1</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规划文件制定和审批</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有人民政府或相关行政部门批准的度假地相关总体规划和详细规划</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规划正在编制中或报批中</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1.6.</w:t>
            </w:r>
            <w:r>
              <w:rPr>
                <w:rFonts w:ascii="宋体" w:hAnsi="宋体" w:cs="宋体"/>
                <w:b/>
                <w:bCs/>
                <w:color w:val="000000"/>
                <w:kern w:val="0"/>
                <w:sz w:val="20"/>
                <w:szCs w:val="20"/>
              </w:rPr>
              <w:t>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规划的合理性</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5</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功能布局合理，对雪道、魔毯、索道、容积率、建筑密度、游客环境容量、绿地率、生态环境保护、风险防范等提出合理的控制要求</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.6.3</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楷体_GB2312" w:hAnsi="楷体_GB2312" w:eastAsia="楷体_GB2312" w:cs="宋体"/>
                <w:b/>
                <w:bCs/>
                <w:color w:val="000000"/>
                <w:kern w:val="0"/>
                <w:sz w:val="20"/>
                <w:szCs w:val="20"/>
              </w:rPr>
              <w:t>规划实施与建设</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5</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规划已实施建设落成</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规划正在实施建设</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2</w:t>
            </w:r>
            <w:r>
              <w:rPr>
                <w:rFonts w:eastAsia="黑体" w:cs="Calibri"/>
                <w:b/>
                <w:bCs/>
                <w:color w:val="000000"/>
                <w:kern w:val="0"/>
                <w:sz w:val="14"/>
                <w:szCs w:val="14"/>
              </w:rPr>
              <w:t xml:space="preserve">    </w:t>
            </w:r>
            <w:r>
              <w:rPr>
                <w:rFonts w:hint="eastAsia" w:ascii="黑体" w:hAnsi="黑体" w:eastAsia="黑体" w:cs="宋体"/>
                <w:b/>
                <w:bCs/>
                <w:color w:val="000000"/>
                <w:kern w:val="0"/>
                <w:sz w:val="24"/>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滑雪场地与设施</w:t>
            </w:r>
          </w:p>
        </w:tc>
        <w:tc>
          <w:tcPr>
            <w:tcW w:w="12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155</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2.1</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滑雪场地</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50</w:t>
            </w:r>
          </w:p>
        </w:tc>
        <w:tc>
          <w:tcPr>
            <w:tcW w:w="12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2.1.1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核心区雪道垂直落差</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800m以上</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501m-800m</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14</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350m-500m</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2.1.2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初级、中级和高级雪道面积比</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高级雪道不低于20%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中级雪道不低于50%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2.1.3</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核心区日最大接待游客环境容量</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7000人以上</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6001-7000人</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5000-6000人</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 xml:space="preserve">2.1.4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举办国际滑雪赛事条件</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具备能够举办5项以上的综合国际滑雪赛事的条件</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具备能够举办至少1项国际滑雪赛事的条件（每一项加2分）</w:t>
            </w:r>
            <w:r>
              <w:rPr>
                <w:rFonts w:cs="Calibri"/>
                <w:color w:val="000000"/>
                <w:kern w:val="0"/>
                <w:szCs w:val="21"/>
              </w:rPr>
              <w:t> </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每项2分</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ascii="楷体_GB2312" w:hAnsi="楷体_GB2312" w:eastAsia="楷体_GB2312" w:cs="宋体"/>
                <w:b/>
                <w:bCs/>
                <w:color w:val="000000"/>
                <w:kern w:val="0"/>
                <w:sz w:val="20"/>
                <w:szCs w:val="20"/>
              </w:rPr>
              <w:t>2.1.5</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楷体_GB2312" w:hAnsi="楷体_GB2312" w:eastAsia="楷体_GB2312"/>
                <w:b/>
                <w:bCs/>
                <w:sz w:val="20"/>
                <w:szCs w:val="20"/>
              </w:rPr>
              <w:t>举办全国滑雪赛事条件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sz w:val="20"/>
                <w:szCs w:val="20"/>
              </w:rPr>
              <w:t>5</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sz w:val="20"/>
                <w:szCs w:val="20"/>
              </w:rPr>
              <w:t>具备能够举办5项以上的全国滑雪赛事的条件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b/>
                <w:bCs/>
                <w:sz w:val="20"/>
                <w:szCs w:val="20"/>
              </w:rPr>
              <w:t>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sz w:val="20"/>
                <w:szCs w:val="20"/>
              </w:rPr>
              <w:t>具备能够举办至少1项全国滑雪赛事的条件（每一项加1分）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b/>
                <w:bCs/>
                <w:sz w:val="20"/>
                <w:szCs w:val="20"/>
              </w:rPr>
              <w:t>每项1分</w:t>
            </w:r>
          </w:p>
        </w:tc>
        <w:tc>
          <w:tcPr>
            <w:tcW w:w="125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2.2</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滑雪设备</w:t>
            </w:r>
          </w:p>
        </w:tc>
        <w:tc>
          <w:tcPr>
            <w:tcW w:w="12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ascii="黑体" w:hAnsi="黑体" w:eastAsia="黑体" w:cs="宋体"/>
                <w:b/>
                <w:bCs/>
                <w:color w:val="000000"/>
                <w:kern w:val="0"/>
                <w:sz w:val="20"/>
                <w:szCs w:val="20"/>
              </w:rPr>
              <w:t>5</w:t>
            </w:r>
            <w:r>
              <w:rPr>
                <w:rFonts w:hint="eastAsia" w:ascii="黑体" w:hAnsi="黑体" w:eastAsia="黑体" w:cs="宋体"/>
                <w:b/>
                <w:bCs/>
                <w:color w:val="000000"/>
                <w:kern w:val="0"/>
                <w:sz w:val="20"/>
                <w:szCs w:val="20"/>
              </w:rPr>
              <w:t>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索道系统</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索道系统符合国家标准，索道设备品质全国领先，且拥有2种以上类型</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索道系统符合国家标准，且拥有2种以上类型</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索道系统符合国家标准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索道运量（单向每小时的运客量乘以索道的垂直落差）</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＞400百万</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r>
              <w:rPr>
                <w:rFonts w:ascii="宋体" w:hAnsi="宋体" w:cs="宋体"/>
                <w:color w:val="000000"/>
                <w:kern w:val="0"/>
                <w:sz w:val="20"/>
                <w:szCs w:val="20"/>
              </w:rPr>
              <w:t>1</w:t>
            </w:r>
            <w:r>
              <w:rPr>
                <w:rFonts w:hint="eastAsia" w:ascii="宋体" w:hAnsi="宋体" w:cs="宋体"/>
                <w:color w:val="000000"/>
                <w:kern w:val="0"/>
                <w:sz w:val="20"/>
                <w:szCs w:val="20"/>
              </w:rPr>
              <w:t>百万-400百万</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250百万-300百万</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造雪系统</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造雪系统覆盖所有雪道，雪质较高</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造雪系统覆盖所有雪道</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滑雪场地设施</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运输设备、雪地机械、滑雪器材等滑雪场地设施种类齐全，品质较高</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运输设备、雪地机械、滑雪器材等滑雪场地设施种类齐全</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拥有运输设备、雪地机械、滑雪器材等基本种类的滑雪场地设施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压雪车数量</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可投入使用的压雪车数量8台以上，设备品质全国领先</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可投入使用的压雪车数量6-8台，设备品质优良</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可投入使用的压雪车数量5台</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2.3</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滑雪装备器材</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55</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滑雪器材装备综合评价</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可用于租赁和出售的滑雪器材装备为国内领先或国际知名品牌，并有数量配套的头盔和雪镜</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有可用于租赁和出售的滑雪器材装备，并有数量配套的头盔和雪镜</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滑雪器材装备数量（套）</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350</w:t>
            </w:r>
            <w:r>
              <w:rPr>
                <w:rFonts w:ascii="宋体" w:hAnsi="宋体" w:cs="宋体"/>
                <w:color w:val="000000"/>
                <w:kern w:val="0"/>
                <w:sz w:val="20"/>
                <w:szCs w:val="20"/>
              </w:rPr>
              <w:t>1</w:t>
            </w:r>
            <w:r>
              <w:rPr>
                <w:rFonts w:hint="eastAsia" w:ascii="宋体" w:hAnsi="宋体" w:cs="宋体"/>
                <w:color w:val="000000"/>
                <w:kern w:val="0"/>
                <w:sz w:val="20"/>
                <w:szCs w:val="20"/>
              </w:rPr>
              <w:t>-4000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2500-3500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儿童板数量占滑雪器材装备的比重</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5%</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0</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单板数量占滑雪器材装备的比重</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30%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滑雪器材装备维护</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11</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配有雪板养护、雪鞋烘干除臭设备等滑雪器材装备维护、保养设施，配备滑雪器材消毒设施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1</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配备滑雪器材消毒设施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9</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3</w:t>
            </w:r>
            <w:r>
              <w:rPr>
                <w:rFonts w:eastAsia="黑体" w:cs="Calibri"/>
                <w:b/>
                <w:bCs/>
                <w:color w:val="000000"/>
                <w:kern w:val="0"/>
                <w:sz w:val="14"/>
                <w:szCs w:val="14"/>
              </w:rPr>
              <w:t xml:space="preserve">    </w:t>
            </w:r>
            <w:r>
              <w:rPr>
                <w:rFonts w:hint="eastAsia" w:ascii="黑体" w:hAnsi="黑体" w:eastAsia="黑体" w:cs="宋体"/>
                <w:b/>
                <w:bCs/>
                <w:color w:val="000000"/>
                <w:kern w:val="0"/>
                <w:sz w:val="24"/>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highlight w:val="yellow"/>
              </w:rPr>
            </w:pPr>
            <w:r>
              <w:rPr>
                <w:rFonts w:hint="eastAsia" w:ascii="黑体" w:hAnsi="黑体" w:eastAsia="黑体" w:cs="宋体"/>
                <w:b/>
                <w:bCs/>
                <w:color w:val="000000"/>
                <w:kern w:val="0"/>
                <w:sz w:val="24"/>
              </w:rPr>
              <w:t>滑雪旅游综合服务</w:t>
            </w:r>
          </w:p>
        </w:tc>
        <w:tc>
          <w:tcPr>
            <w:tcW w:w="12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4"/>
                <w:highlight w:val="yellow"/>
              </w:rPr>
            </w:pPr>
            <w:r>
              <w:rPr>
                <w:rFonts w:ascii="黑体" w:hAnsi="黑体" w:eastAsia="黑体" w:cs="宋体"/>
                <w:b/>
                <w:bCs/>
                <w:color w:val="000000"/>
                <w:kern w:val="0"/>
                <w:sz w:val="24"/>
              </w:rPr>
              <w:t>210</w:t>
            </w:r>
          </w:p>
        </w:tc>
        <w:tc>
          <w:tcPr>
            <w:tcW w:w="125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3.1</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滑雪教学与冰雪文化建设</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40</w:t>
            </w:r>
          </w:p>
        </w:tc>
        <w:tc>
          <w:tcPr>
            <w:tcW w:w="125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3.1.1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滑雪教学与培训综合评价</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拥有完善的滑雪教学与培训体系，课程丰富，长期培训与短期教学兼有，专业与业余兼顾，能够满足成人、儿童等不同市场需求</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能够开展短期滑雪教学与培训，专业与业余兼顾，能够满足成人、儿童等不同市场需求</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3.1.2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滑雪教学条件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20</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有滑雪学校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有儿童滑雪教学场地</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有虚拟现实VR模拟滑雪系统的旅游场所</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不同级别的滑雪指导员不少于300人</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3.1.3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冰雪文化建设</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设有专项冰雪文化展示空间</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left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长期提供冰雪文化展示内容</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建立冰雪文化宣传与解说系统</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bottom w:val="single" w:color="000000"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3.2</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户外与室内休闲活动及设施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户外与室内休闲活动数量与综合评价</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2</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活动类型多样，质量高，特色突出，户外和室内休闲活动类型分别有20种以上，为不同年龄、不同类型的游客提供针对性服务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活动类型多样，质量较高，特色较突出，户外和室内休闲活动类型分别有10-20种，为不同年龄、不同类型的游客提供较好服务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活动类型多样，户外和室内休闲活动类型分别有10-20种，为不同年龄、不同类型的游客提供服务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竞赛表演类休闲活动的多样性和品质</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活动类型多样，高品质的代表性活动有2项以上，为不同年龄、不同类型的游客提供针对性服务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活动类型多样，高品质的代表性活动有1项，为不同年龄、不同类型的游客提供较好服务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活动类型多样，为不同年龄、不同类型的游客提供服务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主题文化类休闲活动的多样性和品质</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活动类型多样，高品质的代表性活动有</w:t>
            </w:r>
            <w:r>
              <w:rPr>
                <w:rFonts w:ascii="宋体" w:hAnsi="宋体" w:cs="宋体"/>
                <w:color w:val="000000"/>
                <w:kern w:val="0"/>
                <w:sz w:val="20"/>
                <w:szCs w:val="20"/>
              </w:rPr>
              <w:t>8</w:t>
            </w:r>
            <w:r>
              <w:rPr>
                <w:rFonts w:hint="eastAsia" w:ascii="宋体" w:hAnsi="宋体" w:cs="宋体"/>
                <w:color w:val="000000"/>
                <w:kern w:val="0"/>
                <w:sz w:val="20"/>
                <w:szCs w:val="20"/>
              </w:rPr>
              <w:t>项以上，为不同年龄、不同类型的游客提供针对性服务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w:t>
            </w:r>
            <w:r>
              <w:rPr>
                <w:rFonts w:hint="eastAsia" w:ascii="宋体" w:hAnsi="宋体" w:cs="宋体"/>
                <w:kern w:val="0"/>
                <w:sz w:val="20"/>
                <w:szCs w:val="20"/>
              </w:rPr>
              <w:t>多样</w:t>
            </w:r>
            <w:r>
              <w:rPr>
                <w:rFonts w:hint="eastAsia" w:ascii="宋体" w:hAnsi="宋体" w:cs="宋体"/>
                <w:color w:val="000000"/>
                <w:kern w:val="0"/>
                <w:sz w:val="20"/>
                <w:szCs w:val="20"/>
              </w:rPr>
              <w:t>，高品质的代表性活动有</w:t>
            </w:r>
            <w:r>
              <w:rPr>
                <w:rFonts w:ascii="宋体" w:hAnsi="宋体" w:cs="宋体"/>
                <w:color w:val="000000"/>
                <w:kern w:val="0"/>
                <w:sz w:val="20"/>
                <w:szCs w:val="20"/>
              </w:rPr>
              <w:t>5-8项</w:t>
            </w:r>
            <w:r>
              <w:rPr>
                <w:rFonts w:hint="eastAsia" w:ascii="宋体" w:hAnsi="宋体" w:cs="宋体"/>
                <w:color w:val="000000"/>
                <w:kern w:val="0"/>
                <w:sz w:val="20"/>
                <w:szCs w:val="20"/>
              </w:rPr>
              <w:t>，为不同年龄、不同类型的游客提供较好服务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活动类型多样，代表性活动品质较高，为不同年龄、不同类型的游客提供服务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运动健身类休闲活动的多样性和品质</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2</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活动类型多样，高品质的代表性活动有</w:t>
            </w:r>
            <w:r>
              <w:rPr>
                <w:rFonts w:ascii="宋体" w:hAnsi="宋体" w:cs="宋体"/>
                <w:kern w:val="0"/>
                <w:sz w:val="20"/>
                <w:szCs w:val="20"/>
              </w:rPr>
              <w:t>20</w:t>
            </w:r>
            <w:r>
              <w:rPr>
                <w:rFonts w:hint="eastAsia" w:ascii="宋体" w:hAnsi="宋体" w:cs="宋体"/>
                <w:kern w:val="0"/>
                <w:sz w:val="20"/>
                <w:szCs w:val="20"/>
              </w:rPr>
              <w:t>项以上，为不同年龄、不同类型的游客提供针对性服务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活动类型多样，高品质的代表性活动有1</w:t>
            </w:r>
            <w:r>
              <w:rPr>
                <w:rFonts w:ascii="宋体" w:hAnsi="宋体" w:cs="宋体"/>
                <w:kern w:val="0"/>
                <w:sz w:val="20"/>
                <w:szCs w:val="20"/>
              </w:rPr>
              <w:t>5-20项</w:t>
            </w:r>
            <w:r>
              <w:rPr>
                <w:rFonts w:hint="eastAsia" w:ascii="宋体" w:hAnsi="宋体" w:cs="宋体"/>
                <w:kern w:val="0"/>
                <w:sz w:val="20"/>
                <w:szCs w:val="20"/>
              </w:rPr>
              <w:t>，为不同年龄、不同类型的游客提供较好服务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活动类型多样，代表性活动品质较高，为不同年龄、不同类型的游客提供服务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核心区户外和室内休闲活动设施日容量</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2</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达到滑雪旅游度假地日游客容量的</w:t>
            </w:r>
            <w:r>
              <w:rPr>
                <w:rFonts w:ascii="宋体" w:hAnsi="宋体" w:cs="宋体"/>
                <w:color w:val="000000"/>
                <w:kern w:val="0"/>
                <w:sz w:val="20"/>
                <w:szCs w:val="20"/>
              </w:rPr>
              <w:t>3/4</w:t>
            </w:r>
            <w:r>
              <w:rPr>
                <w:rFonts w:hint="eastAsia" w:ascii="宋体" w:hAnsi="宋体" w:cs="宋体"/>
                <w:color w:val="000000"/>
                <w:kern w:val="0"/>
                <w:sz w:val="20"/>
                <w:szCs w:val="20"/>
              </w:rPr>
              <w:t>以上，能够开展多季运营</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达到滑雪旅游度假地日游客容量的</w:t>
            </w:r>
            <w:r>
              <w:rPr>
                <w:rFonts w:ascii="宋体" w:hAnsi="宋体" w:cs="宋体"/>
                <w:color w:val="000000"/>
                <w:kern w:val="0"/>
                <w:sz w:val="20"/>
                <w:szCs w:val="20"/>
              </w:rPr>
              <w:t>2/3</w:t>
            </w:r>
            <w:r>
              <w:rPr>
                <w:rFonts w:hint="eastAsia" w:ascii="宋体" w:hAnsi="宋体" w:cs="宋体"/>
                <w:color w:val="000000"/>
                <w:kern w:val="0"/>
                <w:sz w:val="20"/>
                <w:szCs w:val="20"/>
              </w:rPr>
              <w:t>以上，能够开展多季运营</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达到滑雪旅游度假地日游客容量的</w:t>
            </w:r>
            <w:r>
              <w:rPr>
                <w:rFonts w:ascii="宋体" w:hAnsi="宋体" w:cs="宋体"/>
                <w:color w:val="000000"/>
                <w:kern w:val="0"/>
                <w:sz w:val="20"/>
                <w:szCs w:val="20"/>
              </w:rPr>
              <w:t>1/2</w:t>
            </w:r>
            <w:r>
              <w:rPr>
                <w:rFonts w:hint="eastAsia" w:ascii="宋体" w:hAnsi="宋体" w:cs="宋体"/>
                <w:color w:val="000000"/>
                <w:kern w:val="0"/>
                <w:sz w:val="20"/>
                <w:szCs w:val="20"/>
              </w:rPr>
              <w:t>以上，能够开展多季运营</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3.3</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接待设施类型及品质</w:t>
            </w:r>
          </w:p>
        </w:tc>
        <w:tc>
          <w:tcPr>
            <w:tcW w:w="12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5</w:t>
            </w:r>
            <w:r>
              <w:rPr>
                <w:rFonts w:ascii="黑体" w:hAnsi="黑体" w:eastAsia="黑体" w:cs="宋体"/>
                <w:b/>
                <w:bCs/>
                <w:color w:val="000000"/>
                <w:kern w:val="0"/>
                <w:sz w:val="20"/>
                <w:szCs w:val="20"/>
              </w:rPr>
              <w:t>5</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3.3.1</w:t>
            </w:r>
          </w:p>
        </w:tc>
        <w:tc>
          <w:tcPr>
            <w:tcW w:w="6032" w:type="dxa"/>
            <w:tcBorders>
              <w:top w:val="nil"/>
              <w:left w:val="nil"/>
              <w:bottom w:val="single" w:color="auto" w:sz="8" w:space="0"/>
              <w:right w:val="single" w:color="auto" w:sz="8"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总体接待能力（房间数）</w:t>
            </w:r>
          </w:p>
        </w:tc>
        <w:tc>
          <w:tcPr>
            <w:tcW w:w="1266" w:type="dxa"/>
            <w:tcBorders>
              <w:top w:val="nil"/>
              <w:left w:val="single" w:color="auto" w:sz="4" w:space="0"/>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000</w:t>
            </w:r>
          </w:p>
        </w:tc>
        <w:tc>
          <w:tcPr>
            <w:tcW w:w="12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000～</w:t>
            </w:r>
            <w:r>
              <w:rPr>
                <w:rFonts w:ascii="宋体" w:hAnsi="宋体" w:cs="宋体"/>
                <w:color w:val="000000"/>
                <w:kern w:val="0"/>
                <w:sz w:val="20"/>
                <w:szCs w:val="20"/>
              </w:rPr>
              <w:t>2</w:t>
            </w:r>
            <w:r>
              <w:rPr>
                <w:rFonts w:hint="eastAsia" w:ascii="宋体" w:hAnsi="宋体" w:cs="宋体"/>
                <w:color w:val="000000"/>
                <w:kern w:val="0"/>
                <w:sz w:val="20"/>
                <w:szCs w:val="20"/>
              </w:rPr>
              <w:t>000</w:t>
            </w:r>
          </w:p>
        </w:tc>
        <w:tc>
          <w:tcPr>
            <w:tcW w:w="12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00</w:t>
            </w:r>
            <w:r>
              <w:rPr>
                <w:rFonts w:cs="Calibri"/>
                <w:color w:val="000000"/>
                <w:kern w:val="0"/>
                <w:szCs w:val="21"/>
              </w:rPr>
              <w:t> </w:t>
            </w:r>
            <w:r>
              <w:rPr>
                <w:color w:val="000000"/>
                <w:kern w:val="0"/>
                <w:szCs w:val="21"/>
              </w:rPr>
              <w:t> </w:t>
            </w: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000</w:t>
            </w:r>
          </w:p>
        </w:tc>
        <w:tc>
          <w:tcPr>
            <w:tcW w:w="12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3.3.2</w:t>
            </w:r>
          </w:p>
        </w:tc>
        <w:tc>
          <w:tcPr>
            <w:tcW w:w="6032" w:type="dxa"/>
            <w:tcBorders>
              <w:top w:val="single" w:color="auto" w:sz="4" w:space="0"/>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滑雪型酒店或具有鲜明滑雪主题度假酒店所占比例（按房间数）</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5～10%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w:t>
            </w:r>
            <w:r>
              <w:rPr>
                <w:rFonts w:ascii="楷体_GB2312" w:hAnsi="楷体_GB2312" w:eastAsia="楷体_GB2312" w:cs="宋体"/>
                <w:b/>
                <w:bCs/>
                <w:color w:val="000000"/>
                <w:kern w:val="0"/>
                <w:sz w:val="20"/>
                <w:szCs w:val="20"/>
              </w:rPr>
              <w:t>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三星级（含）以上标准住宿接待设施所占比例（按房间数）</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60～70%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50～60%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特色住宿设施（按房间数）</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除滑雪外其他主题特色型≥1</w:t>
            </w:r>
            <w:r>
              <w:rPr>
                <w:rFonts w:ascii="宋体" w:hAnsi="宋体" w:cs="宋体"/>
                <w:color w:val="000000"/>
                <w:kern w:val="0"/>
                <w:sz w:val="20"/>
                <w:szCs w:val="20"/>
              </w:rPr>
              <w:t>0</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景观型≥1</w:t>
            </w:r>
            <w:r>
              <w:rPr>
                <w:rFonts w:ascii="宋体" w:hAnsi="宋体" w:cs="宋体"/>
                <w:color w:val="000000"/>
                <w:kern w:val="0"/>
                <w:sz w:val="20"/>
                <w:szCs w:val="20"/>
              </w:rPr>
              <w:t>0</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中档舒适型≥</w:t>
            </w:r>
            <w:r>
              <w:rPr>
                <w:rFonts w:ascii="宋体" w:hAnsi="宋体" w:cs="宋体"/>
                <w:color w:val="000000"/>
                <w:kern w:val="0"/>
                <w:sz w:val="20"/>
                <w:szCs w:val="20"/>
              </w:rPr>
              <w:t>30</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环保低碳型≥</w:t>
            </w:r>
            <w:r>
              <w:rPr>
                <w:rFonts w:ascii="宋体" w:hAnsi="宋体" w:cs="宋体"/>
                <w:color w:val="000000"/>
                <w:kern w:val="0"/>
                <w:sz w:val="20"/>
                <w:szCs w:val="20"/>
              </w:rPr>
              <w:t>15</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家庭亲子型≥</w:t>
            </w:r>
            <w:r>
              <w:rPr>
                <w:rFonts w:ascii="宋体" w:hAnsi="宋体" w:cs="宋体"/>
                <w:color w:val="000000"/>
                <w:kern w:val="0"/>
                <w:sz w:val="20"/>
                <w:szCs w:val="20"/>
              </w:rPr>
              <w:t>15</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住宿接待设施的类型</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拥有高档、中档不同价格区间的住宿设施，且每种价格区间均能提供3种以上不同类型的住宿设施；另外能提供2种以上经济型住宿设施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拥有高档、中档不同价格区间的住宿设施，且每种价格区间均能提供2种以上不同类型的住宿设施；另外能提供1种以上经济型住宿设施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拥有高档、中档不同价格区间的住宿设施，且每种价格区间均能提供1种以上不同类型的住宿设施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w:t>
            </w:r>
            <w:r>
              <w:rPr>
                <w:rFonts w:ascii="楷体_GB2312" w:hAnsi="楷体_GB2312" w:eastAsia="楷体_GB2312" w:cs="宋体"/>
                <w:b/>
                <w:bCs/>
                <w:color w:val="000000"/>
                <w:kern w:val="0"/>
                <w:sz w:val="20"/>
                <w:szCs w:val="20"/>
              </w:rPr>
              <w:t>6</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住宿接待设施的品质</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各类住宿设施均能做到国内同类产品领先的品质</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各类住宿设施均能做到区域内同类产品领先的品质</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各类住宿设施均能做到同省域同类产品领先的品质</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3.4</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餐饮服务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3.4.1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餐饮种类多样性</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地方主打菜系消费档次丰富多样</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地方主打菜系消费档次多样</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地方主打菜系消费档次较多</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w:t>
            </w:r>
            <w:r>
              <w:rPr>
                <w:rFonts w:ascii="楷体_GB2312" w:hAnsi="楷体_GB2312" w:eastAsia="楷体_GB2312" w:cs="宋体"/>
                <w:b/>
                <w:bCs/>
                <w:color w:val="000000"/>
                <w:kern w:val="0"/>
                <w:sz w:val="20"/>
                <w:szCs w:val="20"/>
              </w:rPr>
              <w:t>.4.2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餐饮服务质量水平</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口味突出，服务突出，有夜间餐饮服务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口味好，服务好，有夜间餐饮服务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口味较好，服务较好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3.4.</w:t>
            </w:r>
            <w:r>
              <w:rPr>
                <w:rFonts w:ascii="楷体_GB2312" w:hAnsi="楷体_GB2312" w:eastAsia="楷体_GB2312" w:cs="宋体"/>
                <w:b/>
                <w:bCs/>
                <w:color w:val="000000"/>
                <w:kern w:val="0"/>
                <w:sz w:val="20"/>
                <w:szCs w:val="20"/>
              </w:rPr>
              <w:t>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餐饮设施布局</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7</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拥有高档、中档不同价格区间的多种类型餐饮设施，空间分布合理，用餐便利</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拥有高档、中档不同价格区间的餐饮设施，空间分布较合理，用餐较便利</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3.4.</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餐饮环境舒适性</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餐饮环境舒适、卫生整洁且特色突出</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0</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餐饮环境较舒适、卫生整洁</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7</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3.4.5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文明用餐的引导性</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有较强的文明用餐引导性，能高效引导、提醒和督促游客节约饮食和绿色消费</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3.5</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会议接待能力</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3.5.1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会议接待设施的硬件品质</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不同面积和类型的会议室，联通便捷</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80%的会议室配备先进的放映设备和音效设备</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配备100M宽带及高速无线网络系统</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在会议功能集中区配备功能完善的商务中心</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3.5.2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会议接待服务品质</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会务工作人员素质较高，具备外语能力</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能举办多种类型的会议</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4</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配套设施与条件</w:t>
            </w:r>
          </w:p>
        </w:tc>
        <w:tc>
          <w:tcPr>
            <w:tcW w:w="12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200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4.1</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配套服务设施与综合服务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综合服务设施和功能</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综合服务设施配置合理，功能完善，运转有效，能够针对滑雪活动、休闲活动、观光游览、教练培训等相关需求提供咨询策划、预订购票、休息集散、导游导览以及投诉等相关服务，有雪具大厅，具有滑雪器材装备存放、维护和租赁等功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综合服务设施配置较合理，功能较完善，运转有效，能够针对滑雪活动、休闲活动、观光游览、教练培训等相关需求提供咨询策划、预订购票、休息集散、导游导览以及投诉等相关服务，有雪具大厅，具有滑雪器材装备存放、维护和租赁等功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综合服务设施配置基本合理，功能基本完善，运转有效，能够针对滑雪活动、休闲活动、观光游览、教练培训等相关需求提供咨询策划、预订购票、休息集散、导游导览以及投诉等相关服务，有雪具大厅，具有滑雪器材装备存放、维护和租赁等功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适老化服务与特殊人群服务水平</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人工环境均充分考虑老年人及特殊群体需求，建设无障碍设施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针对老年人及特殊群体提供优质全面的度假产品及服务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儿童度假设施与服务</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提供优质全面、多样化的儿童度假设施及活动、有儿童娱雪场所</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提供基本的儿童度假设施及活动、有儿童娱雪场所</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健康保障设施与服务</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12</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设专门的健康中心等，能提供针对滑雪运动一般性损伤应急救治服务，能提供7d×24h健康服务，工作人员具备相关资格</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对于突发严重健康情况有临时处理并迅速转移能力</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有常用药物储备并能及时提供</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向游客提供滑雪运动健康咨询服务和避免运动伤害建议</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旅游厕所</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核心区厕所应达到AA级及以上标准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AAA级厕所比例（按坑位数）20%～50%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厕所分布合理，数量与当地旅游接待能力相匹配</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4.2</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区内交通系统</w:t>
            </w:r>
          </w:p>
        </w:tc>
        <w:tc>
          <w:tcPr>
            <w:tcW w:w="1266" w:type="dxa"/>
            <w:tcBorders>
              <w:top w:val="nil"/>
              <w:left w:val="nil"/>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000000"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4.2.1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区内交通设施与服务</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20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距离较远的主要度假产品之间设穿梭巴士/电瓶车，定时发车和按需发车相结合</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提供类型多样的代步工具租赁服务，网络完善、支持区内异地还车等便捷性服务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交通安全标志标线符合GB5768《道路交通标志和标线》国家标准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有旅游交通引导系统，能够实现智慧停车</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度假地提供的交通工具使用清洁能源</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统一提供便利的区内公共交通工具，并鼓励游客采用公共交通方式</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交通秩序良好，人车分流，无交通拥堵，无游客长时间滞留等候</w:t>
            </w:r>
          </w:p>
        </w:tc>
        <w:tc>
          <w:tcPr>
            <w:tcW w:w="1266" w:type="dxa"/>
            <w:tcBorders>
              <w:top w:val="nil"/>
              <w:left w:val="nil"/>
              <w:bottom w:val="single" w:color="000000" w:sz="4" w:space="0"/>
              <w:right w:val="single" w:color="000000"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000000"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ascii="楷体_GB2312" w:hAnsi="楷体_GB2312" w:eastAsia="楷体_GB2312" w:cs="宋体"/>
                <w:b/>
                <w:bCs/>
                <w:kern w:val="0"/>
                <w:sz w:val="20"/>
                <w:szCs w:val="20"/>
              </w:rPr>
              <w:t>4.2.2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hint="eastAsia" w:ascii="楷体_GB2312" w:hAnsi="楷体_GB2312" w:eastAsia="楷体_GB2312" w:cs="宋体"/>
                <w:b/>
                <w:bCs/>
                <w:kern w:val="0"/>
                <w:sz w:val="20"/>
                <w:szCs w:val="20"/>
              </w:rPr>
              <w:t>自驾车旅居车配套设施与服务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楷体_GB2312" w:hAnsi="楷体_GB2312" w:eastAsia="楷体_GB2312" w:cs="宋体"/>
                <w:b/>
                <w:bCs/>
                <w:color w:val="000000"/>
                <w:kern w:val="0"/>
                <w:sz w:val="20"/>
                <w:szCs w:val="20"/>
              </w:rPr>
              <w:t>20</w:t>
            </w:r>
          </w:p>
        </w:tc>
        <w:tc>
          <w:tcPr>
            <w:tcW w:w="1254" w:type="dxa"/>
            <w:vMerge w:val="restart"/>
            <w:tcBorders>
              <w:top w:val="nil"/>
              <w:left w:val="single" w:color="auto" w:sz="4" w:space="0"/>
              <w:right w:val="single" w:color="auto" w:sz="4" w:space="0"/>
            </w:tcBorders>
            <w:noWrap w:val="0"/>
            <w:vAlign w:val="center"/>
          </w:tcPr>
          <w:p>
            <w:pPr>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提供自驾游线路导航、安全救援和汽车维修保养等配套服务</w:t>
            </w:r>
          </w:p>
        </w:tc>
        <w:tc>
          <w:tcPr>
            <w:tcW w:w="1266" w:type="dxa"/>
            <w:tcBorders>
              <w:top w:val="single" w:color="000000" w:sz="4" w:space="0"/>
              <w:left w:val="nil"/>
              <w:bottom w:val="single" w:color="000000"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有自驾车旅居车营地、帐篷露营地、青少年营地等类型营地</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有驿站、景观台、休憩场所等配套游憩设施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single" w:color="000000" w:sz="4" w:space="0"/>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4.2.3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核心区停车场设施</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停车场容量与度假地的游客接待量相协调</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电动汽车充电桩充足</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有室内停车场</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4.2.4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核心区慢行系统</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olor w:val="000000"/>
                <w:kern w:val="0"/>
                <w:sz w:val="20"/>
                <w:szCs w:val="20"/>
              </w:rPr>
              <w:t>设有步行专用道，选线连续，与景观相协调且环境宜人，能串联主要度假设施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olor w:val="000000"/>
                <w:kern w:val="0"/>
                <w:sz w:val="20"/>
                <w:szCs w:val="20"/>
              </w:rPr>
              <w:t>自行车专用道，选线连续，与景观相协调且环境宜人，能串联主要度假设施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4.3</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智慧旅游系统</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4.3.1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信息化基础设施与服务</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核心区WIFI全覆盖且信号稳定</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宽带平均下载网速不低于1</w:t>
            </w:r>
            <w:r>
              <w:rPr>
                <w:rFonts w:ascii="宋体" w:hAnsi="宋体" w:cs="宋体"/>
                <w:color w:val="000000"/>
                <w:kern w:val="0"/>
                <w:sz w:val="20"/>
                <w:szCs w:val="20"/>
              </w:rPr>
              <w:t>00</w:t>
            </w:r>
            <w:r>
              <w:rPr>
                <w:rFonts w:hint="eastAsia" w:ascii="宋体" w:hAnsi="宋体" w:cs="宋体"/>
                <w:color w:val="000000"/>
                <w:kern w:val="0"/>
                <w:sz w:val="20"/>
                <w:szCs w:val="20"/>
              </w:rPr>
              <w:t>M</w:t>
            </w:r>
            <w:r>
              <w:rPr>
                <w:rFonts w:ascii="宋体" w:hAnsi="宋体" w:cs="宋体"/>
                <w:color w:val="000000"/>
                <w:kern w:val="0"/>
                <w:sz w:val="20"/>
                <w:szCs w:val="20"/>
              </w:rPr>
              <w:t>ps</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WIFI免费使用</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提供便利的移动数码设备充电服务</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ascii="楷体_GB2312" w:hAnsi="楷体_GB2312" w:eastAsia="楷体_GB2312" w:cs="宋体"/>
                <w:b/>
                <w:bCs/>
                <w:kern w:val="0"/>
                <w:sz w:val="20"/>
                <w:szCs w:val="20"/>
              </w:rPr>
              <w:t>4.3.2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hint="eastAsia" w:ascii="楷体_GB2312" w:hAnsi="楷体_GB2312" w:eastAsia="楷体_GB2312" w:cs="宋体"/>
                <w:b/>
                <w:bCs/>
                <w:kern w:val="0"/>
                <w:sz w:val="20"/>
                <w:szCs w:val="20"/>
              </w:rPr>
              <w:t>智慧化管理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hint="eastAsia" w:ascii="宋体" w:hAnsi="宋体" w:cs="宋体"/>
                <w:kern w:val="0"/>
                <w:sz w:val="20"/>
                <w:szCs w:val="20"/>
              </w:rPr>
              <w:t>实现全域可视化管理，可实现游客分流</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有完善的统计机制，实现大数据应用与运营管理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有管理信息系统与决策支持系统</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ascii="楷体_GB2312" w:hAnsi="楷体_GB2312" w:eastAsia="楷体_GB2312" w:cs="宋体"/>
                <w:b/>
                <w:bCs/>
                <w:kern w:val="0"/>
                <w:sz w:val="20"/>
                <w:szCs w:val="20"/>
              </w:rPr>
              <w:t>4.3.3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hint="eastAsia" w:ascii="楷体_GB2312" w:hAnsi="楷体_GB2312" w:eastAsia="楷体_GB2312" w:cs="宋体"/>
                <w:b/>
                <w:bCs/>
                <w:kern w:val="0"/>
                <w:sz w:val="20"/>
                <w:szCs w:val="20"/>
              </w:rPr>
              <w:t>智慧化服务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left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hint="eastAsia" w:ascii="宋体" w:hAnsi="宋体" w:cs="宋体"/>
                <w:kern w:val="0"/>
                <w:sz w:val="20"/>
                <w:szCs w:val="20"/>
              </w:rPr>
              <w:t>提供智能服务设施，采用二维码等信息手段丰富和扩充导览内容</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hint="eastAsia" w:ascii="宋体" w:hAnsi="宋体" w:cs="宋体"/>
                <w:kern w:val="0"/>
                <w:sz w:val="20"/>
                <w:szCs w:val="20"/>
              </w:rPr>
              <w:t>有适用于手机终端的信息化服务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ascii="楷体_GB2312" w:hAnsi="楷体_GB2312" w:eastAsia="楷体_GB2312" w:cs="宋体"/>
                <w:b/>
                <w:bCs/>
                <w:kern w:val="0"/>
                <w:sz w:val="20"/>
                <w:szCs w:val="20"/>
              </w:rPr>
              <w:t>4.3.4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kern w:val="0"/>
                <w:sz w:val="20"/>
                <w:szCs w:val="20"/>
              </w:rPr>
            </w:pPr>
            <w:r>
              <w:rPr>
                <w:rFonts w:hint="eastAsia" w:ascii="楷体_GB2312" w:hAnsi="楷体_GB2312" w:eastAsia="楷体_GB2312" w:cs="宋体"/>
                <w:b/>
                <w:bCs/>
                <w:kern w:val="0"/>
                <w:sz w:val="20"/>
                <w:szCs w:val="20"/>
              </w:rPr>
              <w:t>智慧化销售</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拥有网络、电话、手机终端等多渠道的信息发布、咨询与预</w:t>
            </w:r>
            <w:r>
              <w:rPr>
                <w:rFonts w:hint="eastAsia" w:ascii="宋体" w:hAnsi="宋体" w:cs="宋体"/>
                <w:color w:val="000000"/>
                <w:kern w:val="0"/>
                <w:sz w:val="20"/>
                <w:szCs w:val="20"/>
                <w:lang w:val="en-US" w:eastAsia="zh-CN"/>
              </w:rPr>
              <w:t>订</w:t>
            </w:r>
            <w:bookmarkStart w:id="0" w:name="_GoBack"/>
            <w:bookmarkEnd w:id="0"/>
            <w:r>
              <w:rPr>
                <w:rFonts w:hint="eastAsia" w:ascii="宋体" w:hAnsi="宋体" w:cs="宋体"/>
                <w:color w:val="000000"/>
                <w:kern w:val="0"/>
                <w:sz w:val="20"/>
                <w:szCs w:val="20"/>
              </w:rPr>
              <w:t>、训练与教学预约平台</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有电子票务，有便捷移动电子支付系统</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4.3.</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导览系统与公共信息标志系统</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旅游导览系统完备、内容准确易懂，标志系统完善，布局合理，符合GB/T 10001.1、GB/T 10001.2和GB/T 10001.4的规定</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具有自然教育和环境解说系统，引导教育游客爱护生态环境</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4.4</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其他旅游配套基础设施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4.4.1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供水、供电与供暖等配套基础设施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有完善的供水系统，有合理容量的蓄水池，能够满足旅游度假、人工造雪和消防需求</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主要公共场所提供直饮水，生活饮用水水质应符合GB 5749的要求</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有完备的供电、供暖等配套基础设施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4.4.</w:t>
            </w:r>
            <w:r>
              <w:rPr>
                <w:rFonts w:ascii="楷体_GB2312" w:hAnsi="楷体_GB2312" w:eastAsia="楷体_GB2312" w:cs="宋体"/>
                <w:b/>
                <w:bCs/>
                <w:color w:val="000000"/>
                <w:kern w:val="0"/>
                <w:sz w:val="20"/>
                <w:szCs w:val="20"/>
              </w:rPr>
              <w:t>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环卫设施与垃圾分类</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有完备的垃圾收集装置与垃圾中转站</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引导游客进行垃圾分类，所有环节均能实现垃圾分类</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公共区域有垃圾分类收集设施，对废电池等危险废弃物设置专用存放点</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5</w:t>
            </w:r>
            <w:r>
              <w:rPr>
                <w:rFonts w:eastAsia="黑体" w:cs="Calibri"/>
                <w:b/>
                <w:bCs/>
                <w:color w:val="000000"/>
                <w:kern w:val="0"/>
                <w:sz w:val="14"/>
                <w:szCs w:val="14"/>
              </w:rPr>
              <w:t xml:space="preserve">    </w:t>
            </w:r>
            <w:r>
              <w:rPr>
                <w:rFonts w:hint="eastAsia" w:ascii="黑体" w:hAnsi="黑体" w:eastAsia="黑体" w:cs="宋体"/>
                <w:b/>
                <w:bCs/>
                <w:color w:val="000000"/>
                <w:kern w:val="0"/>
                <w:sz w:val="24"/>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市场与品牌形象</w:t>
            </w:r>
          </w:p>
        </w:tc>
        <w:tc>
          <w:tcPr>
            <w:tcW w:w="12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90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5.1</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市场结构与规模</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5.1.1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单雪季接待人次</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50</w:t>
            </w:r>
            <w:r>
              <w:rPr>
                <w:rFonts w:hint="eastAsia" w:ascii="宋体" w:hAnsi="宋体" w:cs="宋体"/>
                <w:color w:val="000000"/>
                <w:kern w:val="0"/>
                <w:sz w:val="20"/>
                <w:szCs w:val="20"/>
              </w:rPr>
              <w:t>万</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0-</w:t>
            </w:r>
            <w:r>
              <w:rPr>
                <w:rFonts w:ascii="宋体" w:hAnsi="宋体" w:cs="宋体"/>
                <w:color w:val="000000"/>
                <w:kern w:val="0"/>
                <w:sz w:val="20"/>
                <w:szCs w:val="20"/>
              </w:rPr>
              <w:t>5</w:t>
            </w:r>
            <w:r>
              <w:rPr>
                <w:rFonts w:hint="eastAsia" w:ascii="宋体" w:hAnsi="宋体" w:cs="宋体"/>
                <w:color w:val="000000"/>
                <w:kern w:val="0"/>
                <w:sz w:val="20"/>
                <w:szCs w:val="20"/>
              </w:rPr>
              <w:t>0万</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3</w:t>
            </w:r>
            <w:r>
              <w:rPr>
                <w:rFonts w:hint="eastAsia" w:ascii="宋体" w:hAnsi="宋体" w:cs="宋体"/>
                <w:color w:val="000000"/>
                <w:kern w:val="0"/>
                <w:sz w:val="20"/>
                <w:szCs w:val="20"/>
              </w:rPr>
              <w:t>0万</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 xml:space="preserve">5.1.2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年过夜游客的平均停留夜数</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≥4夜</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3-3.5夜</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2.5-3夜</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5.1.3</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年游客平均停留夜数</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≥0.6夜</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0.5-0.6夜</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0.4-0.5夜</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5.1.4</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年过夜游客人天数与年游客总人数的比例</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70%-80%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60%-70%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5.2</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品牌影响与市场竞争力</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5.2.1</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综合品牌形象</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产品的主题形象鲜明，富有特色</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综合质量形象好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品牌形象具有国际影响力</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品牌形象在区内体现充分，建立了形象识别系统</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5.2.2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市场吸引力</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口碑很好，具有很强的市场吸引力，可吸引国际客源</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口碑较好，具有较强的市场吸引力，可吸引全国客源</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口碑较好，具有基本的市场吸引力，可吸引周边区域客源</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5.2.3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品牌推广措施与效果</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20</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有专门的团队和预算用于品牌宣传推广</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具有较高的网络搜索量和第三方平台推广量</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6</w:t>
            </w:r>
            <w:r>
              <w:rPr>
                <w:rFonts w:eastAsia="黑体" w:cs="Calibri"/>
                <w:b/>
                <w:bCs/>
                <w:color w:val="000000"/>
                <w:kern w:val="0"/>
                <w:sz w:val="14"/>
                <w:szCs w:val="14"/>
              </w:rPr>
              <w:t> </w:t>
            </w:r>
          </w:p>
        </w:tc>
        <w:tc>
          <w:tcPr>
            <w:tcW w:w="6032"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管理与安全保障</w:t>
            </w:r>
          </w:p>
        </w:tc>
        <w:tc>
          <w:tcPr>
            <w:tcW w:w="12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210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6.1</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服务管理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25</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6.1.1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服务人员形象素质</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统一着装，整洁且有明显标识性，着装美观有特色</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热情主动，微笑服务，使用礼貌用语</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对度假地充分了解，对游客各类问询的解答准确专业</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随时接受游客各类诉求，认真负责不推脱</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个人卫生条件好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6.1.2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综合服务质量</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所有设施功能齐全，运转良好，外观美观</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各类度假设施和活动提供的相关服务热情周到，耐心细致，无过度推销</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rPr>
                <w:rFonts w:eastAsia="等线"/>
                <w:b/>
                <w:bCs/>
                <w:color w:val="000000"/>
                <w:kern w:val="0"/>
                <w:szCs w:val="21"/>
              </w:rPr>
            </w:pPr>
            <w:r>
              <w:rPr>
                <w:rFonts w:eastAsia="等线"/>
                <w:b/>
                <w:bCs/>
                <w:color w:val="000000"/>
                <w:kern w:val="0"/>
                <w:szCs w:val="21"/>
              </w:rPr>
              <w:t>6.2</w:t>
            </w: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访客体验</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6.2.1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建立游客满意度调查制度</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right w:val="single" w:color="auto" w:sz="4" w:space="0"/>
            </w:tcBorders>
            <w:noWrap w:val="0"/>
            <w:vAlign w:val="center"/>
          </w:tcPr>
          <w:p>
            <w:pPr>
              <w:widowControl/>
              <w:tabs>
                <w:tab w:val="left" w:pos="508"/>
              </w:tabs>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每半年定期进行游客满意度调查，并及时公布满意度</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每年能定期进行游客满意度调查，并及时公布满意度</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不定期进行游客满意度调查</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6.2.2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游客满意度</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nil"/>
              <w:left w:val="single" w:color="auto" w:sz="4" w:space="0"/>
              <w:right w:val="single" w:color="auto" w:sz="4" w:space="0"/>
            </w:tcBorders>
            <w:noWrap w:val="0"/>
            <w:vAlign w:val="center"/>
          </w:tcPr>
          <w:p>
            <w:pPr>
              <w:widowControl/>
              <w:tabs>
                <w:tab w:val="left" w:pos="478"/>
              </w:tabs>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满意度高，</w:t>
            </w:r>
            <w:r>
              <w:rPr>
                <w:color w:val="000000"/>
                <w:kern w:val="0"/>
                <w:szCs w:val="21"/>
              </w:rPr>
              <w:t>90</w:t>
            </w:r>
            <w:r>
              <w:rPr>
                <w:rFonts w:hint="eastAsia" w:ascii="宋体" w:hAnsi="宋体" w:cs="宋体"/>
                <w:color w:val="000000"/>
                <w:kern w:val="0"/>
                <w:szCs w:val="21"/>
              </w:rPr>
              <w:t>％以上满意</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满意度较高，</w:t>
            </w:r>
            <w:r>
              <w:rPr>
                <w:color w:val="000000"/>
                <w:kern w:val="0"/>
                <w:szCs w:val="21"/>
              </w:rPr>
              <w:t>80</w:t>
            </w:r>
            <w:r>
              <w:rPr>
                <w:rFonts w:hint="eastAsia" w:ascii="宋体" w:hAnsi="宋体" w:cs="宋体"/>
                <w:color w:val="000000"/>
                <w:kern w:val="0"/>
                <w:szCs w:val="21"/>
              </w:rPr>
              <w:t>％以上满意</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满意度一般，</w:t>
            </w:r>
            <w:r>
              <w:rPr>
                <w:color w:val="000000"/>
                <w:kern w:val="0"/>
                <w:szCs w:val="21"/>
              </w:rPr>
              <w:t>70</w:t>
            </w:r>
            <w:r>
              <w:rPr>
                <w:rFonts w:hint="eastAsia" w:ascii="宋体" w:hAnsi="宋体" w:cs="宋体"/>
                <w:color w:val="000000"/>
                <w:kern w:val="0"/>
                <w:szCs w:val="21"/>
              </w:rPr>
              <w:t>％以上满意</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6.2.</w:t>
            </w:r>
            <w:r>
              <w:rPr>
                <w:rFonts w:hint="eastAsia" w:ascii="楷体_GB2312" w:hAnsi="楷体_GB2312" w:eastAsia="楷体_GB2312" w:cs="宋体"/>
                <w:b/>
                <w:bCs/>
                <w:color w:val="000000"/>
                <w:kern w:val="0"/>
                <w:sz w:val="20"/>
                <w:szCs w:val="20"/>
              </w:rPr>
              <w:t>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美誉度</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现场调查问卷和网络评论（或第三方评价）的好评率均在</w:t>
            </w:r>
            <w:r>
              <w:rPr>
                <w:rFonts w:cs="Calibri"/>
                <w:color w:val="000000"/>
                <w:kern w:val="0"/>
                <w:szCs w:val="21"/>
              </w:rPr>
              <w:t>90%</w:t>
            </w:r>
            <w:r>
              <w:rPr>
                <w:rFonts w:hint="eastAsia" w:ascii="宋体" w:hAnsi="宋体" w:cs="宋体"/>
                <w:color w:val="000000"/>
                <w:kern w:val="0"/>
                <w:szCs w:val="21"/>
              </w:rPr>
              <w:t>以上</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现场调查问卷和网络评论（或第三方评价）的好评率</w:t>
            </w:r>
            <w:r>
              <w:rPr>
                <w:rFonts w:cs="Calibri"/>
                <w:color w:val="000000"/>
                <w:kern w:val="0"/>
                <w:szCs w:val="21"/>
              </w:rPr>
              <w:t>80%</w:t>
            </w:r>
            <w:r>
              <w:rPr>
                <w:rFonts w:hint="eastAsia" w:ascii="宋体" w:hAnsi="宋体" w:cs="宋体"/>
                <w:color w:val="000000"/>
                <w:kern w:val="0"/>
                <w:szCs w:val="21"/>
              </w:rPr>
              <w:t>以上</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6.2.</w:t>
            </w:r>
            <w:r>
              <w:rPr>
                <w:rFonts w:hint="eastAsia"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游客忠诚度</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noWrap w:val="0"/>
            <w:vAlign w:val="center"/>
          </w:tcPr>
          <w:p>
            <w:pPr>
              <w:widowControl/>
              <w:rPr>
                <w:rFonts w:eastAsia="等线" w:cs="Calibri"/>
                <w:color w:val="000000"/>
                <w:kern w:val="0"/>
                <w:szCs w:val="21"/>
              </w:rPr>
            </w:pPr>
            <w:r>
              <w:rPr>
                <w:rFonts w:eastAsia="等线" w:cs="Calibri"/>
                <w:color w:val="000000"/>
                <w:kern w:val="0"/>
                <w:szCs w:val="21"/>
              </w:rPr>
              <w:t>40%</w:t>
            </w:r>
            <w:r>
              <w:rPr>
                <w:rFonts w:hint="eastAsia" w:ascii="宋体" w:hAnsi="宋体" w:cs="Calibri"/>
                <w:color w:val="000000"/>
                <w:kern w:val="0"/>
                <w:szCs w:val="21"/>
              </w:rPr>
              <w:t>访客一年内重游</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noWrap w:val="0"/>
            <w:vAlign w:val="center"/>
          </w:tcPr>
          <w:p>
            <w:pPr>
              <w:widowControl/>
              <w:rPr>
                <w:rFonts w:eastAsia="等线" w:cs="Calibri"/>
                <w:color w:val="000000"/>
                <w:kern w:val="0"/>
                <w:szCs w:val="21"/>
              </w:rPr>
            </w:pPr>
            <w:r>
              <w:rPr>
                <w:rFonts w:eastAsia="等线" w:cs="Calibri"/>
                <w:color w:val="000000"/>
                <w:kern w:val="0"/>
                <w:szCs w:val="21"/>
              </w:rPr>
              <w:t>20%</w:t>
            </w:r>
            <w:r>
              <w:rPr>
                <w:rFonts w:hint="eastAsia" w:ascii="宋体" w:hAnsi="宋体" w:cs="Calibri"/>
                <w:color w:val="000000"/>
                <w:kern w:val="0"/>
                <w:szCs w:val="21"/>
              </w:rPr>
              <w:t>访客一年内重游</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6.2.</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游客投诉处理机制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7</w:t>
            </w:r>
          </w:p>
        </w:tc>
        <w:tc>
          <w:tcPr>
            <w:tcW w:w="1254" w:type="dxa"/>
            <w:vMerge w:val="restart"/>
            <w:tcBorders>
              <w:top w:val="nil"/>
              <w:left w:val="nil"/>
              <w:right w:val="single" w:color="auto" w:sz="4" w:space="0"/>
            </w:tcBorders>
            <w:noWrap w:val="0"/>
            <w:vAlign w:val="center"/>
          </w:tcPr>
          <w:p>
            <w:pPr>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建有非常完善的游客投诉机制，在醒目位置公布投诉电话号码，有专人负责，投诉处理很及时</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7</w:t>
            </w:r>
          </w:p>
        </w:tc>
        <w:tc>
          <w:tcPr>
            <w:tcW w:w="1254" w:type="dxa"/>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建有较为完善的游客投诉处理机制，公布投诉电话号码，处理比较及时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建有游客投诉处理机制，公布投诉电话号码，可以处理客人投诉</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6.3</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管理体制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25</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6.3.1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经营许可</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nil"/>
              <w:left w:val="nil"/>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color w:val="000000"/>
                <w:kern w:val="0"/>
                <w:szCs w:val="21"/>
              </w:rPr>
              <w:t>运营管理及责权符合安全、消防、卫生、防疫、环境保护、劳动合同等所有方面相关法律法规要求</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nil"/>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具有应具备的相应经营许可及所有相关手续</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nil"/>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按相关部门要求接受各类检查</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6.3.</w:t>
            </w:r>
            <w:r>
              <w:rPr>
                <w:rFonts w:ascii="楷体_GB2312" w:hAnsi="楷体_GB2312" w:eastAsia="楷体_GB2312" w:cs="宋体"/>
                <w:b/>
                <w:bCs/>
                <w:color w:val="000000"/>
                <w:kern w:val="0"/>
                <w:sz w:val="20"/>
                <w:szCs w:val="20"/>
              </w:rPr>
              <w:t>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管理体制有效性</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7</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有科学的组织架构，严谨的管理机制，能够有效统筹管理或引导度假地所有经营企业与人员</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有统一的质量管理、价格管理、计量管理、售后服务等经营管理体系</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6.3.</w:t>
            </w:r>
            <w:r>
              <w:rPr>
                <w:rFonts w:ascii="楷体_GB2312" w:hAnsi="楷体_GB2312" w:eastAsia="楷体_GB2312" w:cs="宋体"/>
                <w:b/>
                <w:bCs/>
                <w:color w:val="000000"/>
                <w:kern w:val="0"/>
                <w:sz w:val="20"/>
                <w:szCs w:val="20"/>
              </w:rPr>
              <w:t>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核心区边界</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核心区有明确的边界，并在标示系统中标明边界位置</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6.3.</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为度假地内及周边社区居民提供的就业机会比例</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度假地所有工作人员中有30%以上来自于周边社区居民</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20%-30%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10%-20%</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6.4</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综合防灾体系与安全管理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6.4.</w:t>
            </w:r>
            <w:r>
              <w:rPr>
                <w:rFonts w:ascii="楷体_GB2312" w:hAnsi="楷体_GB2312" w:eastAsia="楷体_GB2312" w:cs="宋体"/>
                <w:b/>
                <w:bCs/>
                <w:color w:val="000000"/>
                <w:kern w:val="0"/>
                <w:sz w:val="20"/>
                <w:szCs w:val="20"/>
              </w:rPr>
              <w:t>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安全管理制度</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20</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建立了滑雪旅游安全运营管理与生产岗位责任制度</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建立了滑雪旅游安全紧急救援机制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有完善的安全警示管理制度</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运营和持证人员满足相关职业资格，如国家消防、特种设备、安全生产等规定，各种设施的卫生与安全应符合GB 2894、GB 9664、GB/T 14308、GB/T 18973、GB 37487、GB 37488等相应的国家标准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建立了灾害性天气风险防范与应急处理预案</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建立体育赛事活动应急工作机制，有日常安全演练</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6.4.</w:t>
            </w:r>
            <w:r>
              <w:rPr>
                <w:rFonts w:ascii="楷体_GB2312" w:hAnsi="楷体_GB2312" w:eastAsia="楷体_GB2312" w:cs="宋体"/>
                <w:b/>
                <w:bCs/>
                <w:color w:val="000000"/>
                <w:kern w:val="0"/>
                <w:sz w:val="20"/>
                <w:szCs w:val="20"/>
              </w:rPr>
              <w:t>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无旅游安全事故</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近三年无旅游安全事故</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近三年无Ⅲ级（一次造成4人以下重伤或19人以下群体伤害的事故）以上旅游安全事故</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6.4.3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安全教育提示</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相关区域设置警示、警告和禁止标志，标志有夜间照明，且符合GB/T10001.1</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设有游客滑雪运动安全教育提示专门负责人</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定期对从业人员开展滑雪运动安全教育和培训</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为游客提供充分的滑雪运动安全和旅游度假安全教育、提示</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建立游客安全工作责任制，实现全体履责</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w:t>
            </w:r>
            <w:r>
              <w:rPr>
                <w:rFonts w:ascii="楷体_GB2312" w:hAnsi="楷体_GB2312" w:eastAsia="楷体_GB2312" w:cs="宋体"/>
                <w:b/>
                <w:bCs/>
                <w:color w:val="000000"/>
                <w:kern w:val="0"/>
                <w:sz w:val="20"/>
                <w:szCs w:val="20"/>
              </w:rPr>
              <w:t>.4.4</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楷体_GB2312" w:hAnsi="楷体_GB2312" w:eastAsia="楷体_GB2312" w:cs="宋体"/>
                <w:b/>
                <w:bCs/>
                <w:color w:val="000000"/>
                <w:kern w:val="0"/>
                <w:sz w:val="20"/>
                <w:szCs w:val="20"/>
              </w:rPr>
              <w:t>风险管理体系</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有分别针对经营者和滑雪者的完善的保险产品服务体系，品种充分齐全</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有分别针对经营者和滑雪者的完善的保险产品服务体系，品种较为齐全</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single" w:color="000000" w:sz="4" w:space="0"/>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6.4.</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应急机制与安全救助</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有完善的安全事故和各类突发事件处理预案和应急救援机制，能够迅速反应，有效处理，与属地公安、消防等机构有应急联动机制</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有高峰期人员分流和游客疏导预案，且执行有效</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配备急救设施和应急医疗合作单位，应急医疗合作单位不应低于三甲医院标准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有符合国家基本公共卫生服务规范的传染病及突发公共卫生事件报告和处理体系</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6.4.</w:t>
            </w:r>
            <w:r>
              <w:rPr>
                <w:rFonts w:ascii="楷体_GB2312" w:hAnsi="楷体_GB2312" w:eastAsia="楷体_GB2312" w:cs="宋体"/>
                <w:b/>
                <w:bCs/>
                <w:color w:val="000000"/>
                <w:kern w:val="0"/>
                <w:sz w:val="20"/>
                <w:szCs w:val="20"/>
              </w:rPr>
              <w:t>6</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综合防灾体系</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设有灾害救援指挥中心，有专人负责各防灾基础设施的定期检查、维修，对灾害发生后各责任人的具体工作有详细周全的书面规定</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度假地能随时从地震局、气象局、防汛办公室等相关灾害发布机构获得未来48小时内的天气变化情况和灾害预警，并通过网站、APP、微信公众号等平台等对游客公布</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6.5</w:t>
            </w: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节能环保管理</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6.5.1</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节水</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7</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科学合理地利用雨水，不与污水合流，尽量还水于地，减少雨水进入地下管网的比例</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度假地制定了详细可行的节水方案，有与改进目标相匹配的资金投入，有专人负责</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污水集中处理和排放应符合GB 8978的要求，中水处理后水质应符合GB/T18920和GB/T18921的要求</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6.5.2</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节能</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使用房卡开关或动态感应器等自动控制系统来控制照明和空调等电器</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过道、楼梯和室外照明采用动态感应器</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使用节能型灯具</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积极采用节能新技术，使用可再利用的能源（太阳能、风能、地热等）系统，被动式技术与主动式技术相结合</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6.5.3</w:t>
            </w:r>
          </w:p>
        </w:tc>
        <w:tc>
          <w:tcPr>
            <w:tcW w:w="6032" w:type="dxa"/>
            <w:tcBorders>
              <w:top w:val="nil"/>
              <w:left w:val="nil"/>
              <w:bottom w:val="single" w:color="auto" w:sz="4" w:space="0"/>
              <w:right w:val="single" w:color="auto" w:sz="4" w:space="0"/>
            </w:tcBorders>
            <w:noWrap w:val="0"/>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生态环境保护制度与措施</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有完善的生态环境监测机制</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度假地内尽量使用可回收循环再利用的用具，只在必要处使用一次性用品，并保证一次性用品不会对环境造成危害</w:t>
            </w:r>
          </w:p>
        </w:tc>
        <w:tc>
          <w:tcPr>
            <w:tcW w:w="1266" w:type="dxa"/>
            <w:tcBorders>
              <w:top w:val="nil"/>
              <w:left w:val="nil"/>
              <w:bottom w:val="single" w:color="auto" w:sz="4" w:space="0"/>
              <w:right w:val="single" w:color="auto" w:sz="4" w:space="0"/>
            </w:tcBorders>
            <w:noWrap w:val="0"/>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设有环保经理或专门的环保负责人</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制定环保工作制度并执行实施</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针对环境保护有相关资金投入</w:t>
            </w:r>
          </w:p>
        </w:tc>
        <w:tc>
          <w:tcPr>
            <w:tcW w:w="126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p>
        </w:tc>
        <w:tc>
          <w:tcPr>
            <w:tcW w:w="603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合计</w:t>
            </w:r>
          </w:p>
        </w:tc>
        <w:tc>
          <w:tcPr>
            <w:tcW w:w="12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1000</w:t>
            </w:r>
          </w:p>
        </w:tc>
        <w:tc>
          <w:tcPr>
            <w:tcW w:w="1254" w:type="dxa"/>
            <w:tcBorders>
              <w:top w:val="nil"/>
              <w:left w:val="nil"/>
              <w:bottom w:val="single" w:color="auto" w:sz="4" w:space="0"/>
              <w:right w:val="single" w:color="auto" w:sz="4" w:space="0"/>
            </w:tcBorders>
            <w:noWrap w:val="0"/>
            <w:vAlign w:val="center"/>
          </w:tcPr>
          <w:p>
            <w:pPr>
              <w:widowControl/>
              <w:jc w:val="left"/>
              <w:rPr>
                <w:rFonts w:ascii="黑体" w:hAnsi="黑体" w:eastAsia="黑体" w:cs="宋体"/>
                <w:b/>
                <w:bCs/>
                <w:color w:val="000000"/>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053208E"/>
    <w:multiLevelType w:val="multilevel"/>
    <w:tmpl w:val="0053208E"/>
    <w:lvl w:ilvl="0" w:tentative="0">
      <w:start w:val="1"/>
      <w:numFmt w:val="decimal"/>
      <w:pStyle w:val="2"/>
      <w:lvlText w:val="%1"/>
      <w:lvlJc w:val="left"/>
      <w:pPr>
        <w:tabs>
          <w:tab w:val="left" w:pos="420"/>
        </w:tabs>
        <w:ind w:left="420" w:hanging="420"/>
      </w:pPr>
      <w:rPr>
        <w:rFonts w:hint="default"/>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lowerLetter"/>
      <w:lvlText w:val="%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WIyMjI0NWE0MmU1MWFlZGNkZGI3NThhMDE3ZDMifQ=="/>
  </w:docVars>
  <w:rsids>
    <w:rsidRoot w:val="0F3F3303"/>
    <w:rsid w:val="0F3F3303"/>
    <w:rsid w:val="71D87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8"/>
    <w:qFormat/>
    <w:uiPriority w:val="0"/>
    <w:pPr>
      <w:keepNext/>
      <w:keepLines/>
      <w:numPr>
        <w:ilvl w:val="0"/>
        <w:numId w:val="1"/>
      </w:numPr>
      <w:spacing w:before="200" w:after="200" w:line="578" w:lineRule="auto"/>
      <w:jc w:val="center"/>
      <w:outlineLvl w:val="0"/>
    </w:pPr>
    <w:rPr>
      <w:rFonts w:eastAsia="黑体"/>
      <w:b/>
      <w:bCs/>
      <w:kern w:val="44"/>
      <w:sz w:val="36"/>
      <w:szCs w:val="44"/>
    </w:rPr>
  </w:style>
  <w:style w:type="paragraph" w:styleId="3">
    <w:name w:val="heading 2"/>
    <w:basedOn w:val="1"/>
    <w:next w:val="1"/>
    <w:link w:val="7"/>
    <w:qFormat/>
    <w:uiPriority w:val="0"/>
    <w:pPr>
      <w:keepNext/>
      <w:keepLines/>
      <w:tabs>
        <w:tab w:val="left" w:pos="576"/>
      </w:tabs>
      <w:spacing w:before="200" w:after="200" w:line="415" w:lineRule="auto"/>
      <w:ind w:left="576" w:hanging="576"/>
      <w:outlineLvl w:val="1"/>
    </w:pPr>
    <w:rPr>
      <w:rFonts w:ascii="Arial" w:hAnsi="Arial" w:eastAsia="黑体"/>
      <w:bCs/>
      <w:sz w:val="30"/>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itle"/>
    <w:basedOn w:val="1"/>
    <w:next w:val="1"/>
    <w:qFormat/>
    <w:uiPriority w:val="0"/>
    <w:pPr>
      <w:spacing w:before="240" w:after="60" w:line="600" w:lineRule="exact"/>
      <w:jc w:val="center"/>
      <w:outlineLvl w:val="0"/>
    </w:pPr>
    <w:rPr>
      <w:rFonts w:ascii="Cambria" w:hAnsi="Cambria"/>
      <w:bCs/>
      <w:sz w:val="72"/>
      <w:szCs w:val="32"/>
    </w:rPr>
  </w:style>
  <w:style w:type="character" w:customStyle="1" w:styleId="7">
    <w:name w:val="标题 2 字符"/>
    <w:link w:val="3"/>
    <w:qFormat/>
    <w:uiPriority w:val="0"/>
    <w:rPr>
      <w:rFonts w:ascii="Arial" w:hAnsi="Arial" w:eastAsia="黑体"/>
      <w:bCs/>
      <w:sz w:val="30"/>
      <w:szCs w:val="32"/>
    </w:rPr>
  </w:style>
  <w:style w:type="character" w:customStyle="1" w:styleId="8">
    <w:name w:val="标题 1 字符"/>
    <w:link w:val="2"/>
    <w:qFormat/>
    <w:uiPriority w:val="0"/>
    <w:rPr>
      <w:rFonts w:eastAsia="黑体"/>
      <w:b/>
      <w:bCs/>
      <w:kern w:val="44"/>
      <w:sz w:val="36"/>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2023-09-28T00:17:00Z</dcterms:created>
  <dc:creator>MSW</dc:creator>
  <cp:lastModifiedBy>禹瑀楀</cp:lastModifiedBy>
  <dcterms:modified xsi:type="dcterms:W3CDTF">2023-09-28T02:19:42Z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2E9FE686DBF747F58E4A09A45717EA22_12</vt:lpwstr>
  </property>
</Properties>
</file>